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C81CEB" w14:textId="77777777" w:rsidR="00B82ACC" w:rsidRDefault="001830A8" w:rsidP="00356EFD">
      <w:pPr>
        <w:pStyle w:val="Heading1"/>
        <w:keepNext w:val="0"/>
        <w:keepLines w:val="0"/>
        <w:widowControl w:val="0"/>
        <w:spacing w:line="240" w:lineRule="auto"/>
        <w:ind w:right="43"/>
        <w:jc w:val="center"/>
        <w:rPr>
          <w:b/>
        </w:rPr>
      </w:pPr>
      <w:r>
        <w:rPr>
          <w:b/>
        </w:rPr>
        <w:t>First call for carbon market project applications under the Bhutan and Singapore Implementation Agreement in pursuance of Article 6 of the Paris Agreement</w:t>
      </w:r>
    </w:p>
    <w:p w14:paraId="240A5138" w14:textId="77777777" w:rsidR="00B82ACC" w:rsidRDefault="001830A8">
      <w:pPr>
        <w:widowControl w:val="0"/>
        <w:spacing w:before="252" w:line="240" w:lineRule="auto"/>
        <w:ind w:left="165"/>
        <w:rPr>
          <w:b/>
        </w:rPr>
      </w:pPr>
      <w:r>
        <w:rPr>
          <w:b/>
        </w:rPr>
        <w:t>Date:</w:t>
      </w:r>
      <w:r w:rsidR="00CD0F88">
        <w:rPr>
          <w:b/>
        </w:rPr>
        <w:t xml:space="preserve"> </w:t>
      </w:r>
      <w:r w:rsidR="00F811A8">
        <w:rPr>
          <w:b/>
        </w:rPr>
        <w:t>20</w:t>
      </w:r>
      <w:r w:rsidR="00F811A8" w:rsidRPr="00F811A8">
        <w:rPr>
          <w:b/>
          <w:vertAlign w:val="superscript"/>
        </w:rPr>
        <w:t>th</w:t>
      </w:r>
      <w:r w:rsidR="00F811A8">
        <w:rPr>
          <w:b/>
        </w:rPr>
        <w:t xml:space="preserve"> November, 2025</w:t>
      </w:r>
    </w:p>
    <w:p w14:paraId="3ADA8FE9" w14:textId="77777777" w:rsidR="00B82ACC" w:rsidRDefault="00B82ACC">
      <w:pPr>
        <w:widowControl w:val="0"/>
        <w:spacing w:line="240" w:lineRule="auto"/>
        <w:rPr>
          <w:b/>
        </w:rPr>
      </w:pPr>
    </w:p>
    <w:p w14:paraId="6DCFAAD1" w14:textId="77777777" w:rsidR="00B82ACC" w:rsidRDefault="001830A8">
      <w:pPr>
        <w:widowControl w:val="0"/>
        <w:numPr>
          <w:ilvl w:val="0"/>
          <w:numId w:val="1"/>
        </w:numPr>
        <w:tabs>
          <w:tab w:val="left" w:pos="523"/>
          <w:tab w:val="left" w:pos="525"/>
        </w:tabs>
        <w:spacing w:line="240" w:lineRule="auto"/>
        <w:ind w:right="19"/>
        <w:jc w:val="both"/>
      </w:pPr>
      <w:r>
        <w:t>Recall that on February 28, 2025, Bhutan and Singapore signed the Implementation Agreement (IA) on carbon credits cooperation under Article 6 of the Paris Agreement.</w:t>
      </w:r>
    </w:p>
    <w:p w14:paraId="52D91793" w14:textId="77777777" w:rsidR="00B82ACC" w:rsidRDefault="00B82ACC">
      <w:pPr>
        <w:widowControl w:val="0"/>
        <w:spacing w:line="240" w:lineRule="auto"/>
        <w:jc w:val="both"/>
      </w:pPr>
    </w:p>
    <w:p w14:paraId="6D6A41C9" w14:textId="77777777" w:rsidR="0016204B" w:rsidRDefault="001830A8" w:rsidP="0016204B">
      <w:pPr>
        <w:widowControl w:val="0"/>
        <w:numPr>
          <w:ilvl w:val="0"/>
          <w:numId w:val="1"/>
        </w:numPr>
        <w:tabs>
          <w:tab w:val="left" w:pos="523"/>
          <w:tab w:val="left" w:pos="525"/>
        </w:tabs>
        <w:spacing w:line="240" w:lineRule="auto"/>
        <w:ind w:right="19"/>
        <w:jc w:val="both"/>
      </w:pPr>
      <w:r>
        <w:t>In line with the IA, both countries are announcing a joint process for eligible carbon projects to obtain authorisation in accordance with Article 6 of the Paris Agreement and call for carbon market project applications.</w:t>
      </w:r>
    </w:p>
    <w:p w14:paraId="206A9EA1" w14:textId="77777777" w:rsidR="0016204B" w:rsidRDefault="0016204B" w:rsidP="0016204B">
      <w:pPr>
        <w:pStyle w:val="ListParagraph"/>
      </w:pPr>
    </w:p>
    <w:p w14:paraId="35543B77" w14:textId="77777777" w:rsidR="0016204B" w:rsidRDefault="0016204B" w:rsidP="0016204B">
      <w:pPr>
        <w:widowControl w:val="0"/>
        <w:numPr>
          <w:ilvl w:val="0"/>
          <w:numId w:val="1"/>
        </w:numPr>
        <w:tabs>
          <w:tab w:val="left" w:pos="523"/>
          <w:tab w:val="left" w:pos="525"/>
        </w:tabs>
        <w:spacing w:line="240" w:lineRule="auto"/>
        <w:ind w:right="19"/>
        <w:jc w:val="both"/>
      </w:pPr>
      <w:r>
        <w:t xml:space="preserve">Starting </w:t>
      </w:r>
      <w:r w:rsidRPr="0016204B">
        <w:rPr>
          <w:rStyle w:val="s1"/>
          <w:b/>
          <w:bCs/>
        </w:rPr>
        <w:t>1 December 2025</w:t>
      </w:r>
      <w:r>
        <w:t xml:space="preserve">, interested project developers may submit their carbon credit project applications for authorization in Bhutan to </w:t>
      </w:r>
      <w:hyperlink r:id="rId8" w:history="1">
        <w:r w:rsidRPr="003D6027">
          <w:rPr>
            <w:rStyle w:val="Hyperlink"/>
            <w:b/>
            <w:bCs/>
          </w:rPr>
          <w:t>decccarbonmarket@moenr.gov.bt</w:t>
        </w:r>
      </w:hyperlink>
      <w:r>
        <w:rPr>
          <w:rStyle w:val="s1"/>
          <w:b/>
          <w:bCs/>
        </w:rPr>
        <w:t xml:space="preserve">. </w:t>
      </w:r>
    </w:p>
    <w:p w14:paraId="7B7A07D0" w14:textId="77777777" w:rsidR="00B82ACC" w:rsidRDefault="00B82ACC">
      <w:pPr>
        <w:widowControl w:val="0"/>
        <w:spacing w:before="42" w:line="240" w:lineRule="auto"/>
        <w:jc w:val="both"/>
      </w:pPr>
    </w:p>
    <w:p w14:paraId="138AB0A0" w14:textId="77777777" w:rsidR="00B82ACC" w:rsidRPr="001F608B" w:rsidRDefault="001830A8">
      <w:pPr>
        <w:widowControl w:val="0"/>
        <w:numPr>
          <w:ilvl w:val="0"/>
          <w:numId w:val="1"/>
        </w:numPr>
        <w:tabs>
          <w:tab w:val="left" w:pos="523"/>
          <w:tab w:val="left" w:pos="525"/>
        </w:tabs>
        <w:spacing w:line="240" w:lineRule="auto"/>
        <w:ind w:right="17"/>
        <w:jc w:val="both"/>
        <w:rPr>
          <w:color w:val="000000" w:themeColor="text1"/>
        </w:rPr>
      </w:pPr>
      <w:r w:rsidRPr="001F608B">
        <w:rPr>
          <w:color w:val="000000" w:themeColor="text1"/>
        </w:rPr>
        <w:t xml:space="preserve">Information on the application may be obtained through the </w:t>
      </w:r>
      <w:r w:rsidRPr="00CD0F88">
        <w:rPr>
          <w:b/>
          <w:bCs/>
          <w:color w:val="000000" w:themeColor="text1"/>
          <w:u w:val="single"/>
        </w:rPr>
        <w:t xml:space="preserve">Ministry of </w:t>
      </w:r>
      <w:hyperlink r:id="rId9">
        <w:r w:rsidR="00B82ACC" w:rsidRPr="00CD0F88">
          <w:rPr>
            <w:b/>
            <w:bCs/>
            <w:color w:val="000000" w:themeColor="text1"/>
            <w:u w:val="single"/>
          </w:rPr>
          <w:t>Energy and Natural Resources</w:t>
        </w:r>
      </w:hyperlink>
      <w:r w:rsidRPr="00CD0F88">
        <w:rPr>
          <w:b/>
          <w:bCs/>
          <w:color w:val="000000" w:themeColor="text1"/>
          <w:u w:val="single"/>
        </w:rPr>
        <w:t xml:space="preserve"> or </w:t>
      </w:r>
      <w:r w:rsidR="0016204B" w:rsidRPr="00CD0F88">
        <w:rPr>
          <w:b/>
          <w:bCs/>
          <w:color w:val="000000" w:themeColor="text1"/>
          <w:u w:val="single"/>
        </w:rPr>
        <w:t xml:space="preserve">the </w:t>
      </w:r>
      <w:hyperlink r:id="rId10">
        <w:r w:rsidR="00B82ACC" w:rsidRPr="00CD0F88">
          <w:rPr>
            <w:b/>
            <w:bCs/>
            <w:color w:val="000000" w:themeColor="text1"/>
            <w:u w:val="single"/>
          </w:rPr>
          <w:t>National Environment Commission</w:t>
        </w:r>
      </w:hyperlink>
      <w:r w:rsidRPr="00CD0F88">
        <w:rPr>
          <w:b/>
          <w:bCs/>
          <w:color w:val="000000" w:themeColor="text1"/>
          <w:u w:val="single"/>
        </w:rPr>
        <w:t xml:space="preserve"> website</w:t>
      </w:r>
      <w:r w:rsidRPr="001F608B">
        <w:rPr>
          <w:color w:val="000000" w:themeColor="text1"/>
        </w:rPr>
        <w:t xml:space="preserve">. </w:t>
      </w:r>
    </w:p>
    <w:p w14:paraId="4AA6998E" w14:textId="77777777" w:rsidR="00B82ACC" w:rsidRDefault="001830A8">
      <w:pPr>
        <w:widowControl w:val="0"/>
        <w:numPr>
          <w:ilvl w:val="0"/>
          <w:numId w:val="1"/>
        </w:numPr>
        <w:tabs>
          <w:tab w:val="left" w:pos="523"/>
          <w:tab w:val="left" w:pos="525"/>
        </w:tabs>
        <w:spacing w:before="252" w:line="240" w:lineRule="auto"/>
        <w:ind w:right="17"/>
        <w:jc w:val="both"/>
      </w:pPr>
      <w:r>
        <w:t>Project developers seeking authorization under the IA are expected to finance eligible emissions reduction or removal projects in Bhutan that can generate high-integrity carbon credits.</w:t>
      </w:r>
    </w:p>
    <w:p w14:paraId="745DB599" w14:textId="77777777" w:rsidR="00B82ACC" w:rsidRDefault="00B82ACC">
      <w:pPr>
        <w:widowControl w:val="0"/>
        <w:spacing w:before="39" w:line="240" w:lineRule="auto"/>
        <w:jc w:val="both"/>
      </w:pPr>
    </w:p>
    <w:p w14:paraId="4A0CA6B1" w14:textId="77777777" w:rsidR="00B82ACC" w:rsidRDefault="001830A8">
      <w:pPr>
        <w:widowControl w:val="0"/>
        <w:numPr>
          <w:ilvl w:val="0"/>
          <w:numId w:val="1"/>
        </w:numPr>
        <w:tabs>
          <w:tab w:val="left" w:pos="523"/>
          <w:tab w:val="left" w:pos="525"/>
        </w:tabs>
        <w:spacing w:line="240" w:lineRule="auto"/>
        <w:ind w:right="19"/>
        <w:jc w:val="both"/>
      </w:pPr>
      <w:r>
        <w:t xml:space="preserve">These projects must also promote sustainable development benefits for the local communities, including job creation and clean water access, improved public health, enhanced forest and soil management, improved energy security, and reduced environmental pollution (see </w:t>
      </w:r>
      <w:r>
        <w:rPr>
          <w:b/>
        </w:rPr>
        <w:t>Annex A</w:t>
      </w:r>
      <w:r>
        <w:t xml:space="preserve"> for potential project types and sectors).</w:t>
      </w:r>
    </w:p>
    <w:p w14:paraId="6263B4BB" w14:textId="77777777" w:rsidR="00B82ACC" w:rsidRDefault="00B82ACC">
      <w:pPr>
        <w:widowControl w:val="0"/>
        <w:spacing w:before="41" w:line="240" w:lineRule="auto"/>
        <w:jc w:val="both"/>
      </w:pPr>
    </w:p>
    <w:p w14:paraId="2619615F" w14:textId="77777777" w:rsidR="00B82ACC" w:rsidRDefault="001830A8">
      <w:pPr>
        <w:widowControl w:val="0"/>
        <w:numPr>
          <w:ilvl w:val="0"/>
          <w:numId w:val="1"/>
        </w:numPr>
        <w:tabs>
          <w:tab w:val="left" w:pos="523"/>
          <w:tab w:val="left" w:pos="525"/>
        </w:tabs>
        <w:spacing w:before="1" w:line="240" w:lineRule="auto"/>
        <w:ind w:right="17"/>
        <w:jc w:val="both"/>
      </w:pPr>
      <w:r>
        <w:t>Projects aiming to obtain authorization must create carbon credits aligned with Article 6 of the Paris Agreement and Bhutan’s carbon market policies and guidelines/framework.</w:t>
      </w:r>
    </w:p>
    <w:p w14:paraId="36B94185" w14:textId="77777777" w:rsidR="00B82ACC" w:rsidRDefault="00B82ACC">
      <w:pPr>
        <w:widowControl w:val="0"/>
        <w:spacing w:before="39" w:line="240" w:lineRule="auto"/>
        <w:jc w:val="both"/>
      </w:pPr>
    </w:p>
    <w:p w14:paraId="7C135425" w14:textId="77777777" w:rsidR="00B82ACC" w:rsidRDefault="001830A8">
      <w:pPr>
        <w:widowControl w:val="0"/>
        <w:numPr>
          <w:ilvl w:val="0"/>
          <w:numId w:val="1"/>
        </w:numPr>
        <w:tabs>
          <w:tab w:val="left" w:pos="523"/>
          <w:tab w:val="left" w:pos="525"/>
        </w:tabs>
        <w:spacing w:line="240" w:lineRule="auto"/>
        <w:ind w:right="18"/>
        <w:jc w:val="both"/>
      </w:pPr>
      <w:r>
        <w:t>Under Singapore’s International Carbon Credit (ICC) Framework, these credits may be eligible for Singapore-based carbon tax-liable companies to offset up to 5% of their taxable emissions.</w:t>
      </w:r>
    </w:p>
    <w:p w14:paraId="0C8FFE90" w14:textId="77777777" w:rsidR="00B82ACC" w:rsidRDefault="00B82ACC">
      <w:pPr>
        <w:widowControl w:val="0"/>
        <w:spacing w:before="2" w:line="240" w:lineRule="auto"/>
        <w:jc w:val="both"/>
      </w:pPr>
    </w:p>
    <w:p w14:paraId="0B259C2E" w14:textId="77777777" w:rsidR="00B82ACC" w:rsidRDefault="001830A8">
      <w:pPr>
        <w:pStyle w:val="Heading1"/>
        <w:keepNext w:val="0"/>
        <w:keepLines w:val="0"/>
        <w:widowControl w:val="0"/>
        <w:ind w:left="165"/>
        <w:jc w:val="both"/>
        <w:rPr>
          <w:b/>
        </w:rPr>
      </w:pPr>
      <w:r>
        <w:rPr>
          <w:b/>
        </w:rPr>
        <w:t>Summary of application and authorization steps:</w:t>
      </w:r>
    </w:p>
    <w:p w14:paraId="3CE53739" w14:textId="77777777" w:rsidR="00B82ACC" w:rsidRDefault="00B82ACC"/>
    <w:p w14:paraId="40846D7C" w14:textId="77777777" w:rsidR="00B82ACC" w:rsidRDefault="001830A8">
      <w:pPr>
        <w:widowControl w:val="0"/>
        <w:numPr>
          <w:ilvl w:val="0"/>
          <w:numId w:val="1"/>
        </w:numPr>
        <w:tabs>
          <w:tab w:val="left" w:pos="523"/>
          <w:tab w:val="left" w:pos="525"/>
        </w:tabs>
        <w:spacing w:line="240" w:lineRule="auto"/>
        <w:ind w:right="17"/>
        <w:jc w:val="both"/>
      </w:pPr>
      <w:r>
        <w:t>The application and authorisation comprise three stages, each corresponding to a different implementation step for the carbon credit project (</w:t>
      </w:r>
      <w:r>
        <w:rPr>
          <w:u w:val="single"/>
        </w:rPr>
        <w:t>Annex B</w:t>
      </w:r>
      <w:r>
        <w:t>).</w:t>
      </w:r>
    </w:p>
    <w:p w14:paraId="3368F77A" w14:textId="77777777" w:rsidR="00B82ACC" w:rsidRDefault="00B82ACC">
      <w:pPr>
        <w:widowControl w:val="0"/>
        <w:spacing w:line="240" w:lineRule="auto"/>
        <w:jc w:val="both"/>
      </w:pPr>
    </w:p>
    <w:p w14:paraId="5CEADD75" w14:textId="77777777" w:rsidR="00B82ACC" w:rsidRDefault="001830A8">
      <w:pPr>
        <w:widowControl w:val="0"/>
        <w:numPr>
          <w:ilvl w:val="0"/>
          <w:numId w:val="1"/>
        </w:numPr>
        <w:tabs>
          <w:tab w:val="left" w:pos="523"/>
          <w:tab w:val="left" w:pos="525"/>
        </w:tabs>
        <w:spacing w:line="240" w:lineRule="auto"/>
        <w:ind w:right="18"/>
        <w:jc w:val="both"/>
      </w:pPr>
      <w:r>
        <w:t>The first and second stages require applicants to submit details on the design and implementation plan for the eligible carbon credit project in the lead-up to project authorization.</w:t>
      </w:r>
    </w:p>
    <w:p w14:paraId="393EBF0D" w14:textId="77777777" w:rsidR="00B82ACC" w:rsidRDefault="00B82ACC">
      <w:pPr>
        <w:widowControl w:val="0"/>
        <w:spacing w:before="39" w:line="240" w:lineRule="auto"/>
        <w:jc w:val="both"/>
      </w:pPr>
    </w:p>
    <w:p w14:paraId="37341EA1" w14:textId="77777777" w:rsidR="008D728F" w:rsidRDefault="001830A8" w:rsidP="008D728F">
      <w:pPr>
        <w:widowControl w:val="0"/>
        <w:numPr>
          <w:ilvl w:val="0"/>
          <w:numId w:val="1"/>
        </w:numPr>
        <w:tabs>
          <w:tab w:val="left" w:pos="523"/>
          <w:tab w:val="left" w:pos="525"/>
        </w:tabs>
        <w:spacing w:line="240" w:lineRule="auto"/>
        <w:ind w:right="18"/>
        <w:jc w:val="both"/>
      </w:pPr>
      <w:r>
        <w:t xml:space="preserve">The final stage is for the ITMOs issuance and corresponding adjustments to be applied to the carbon credits generated from the authorized project in accordance with Article 6 of the Paris Agreement and the Carbon Market </w:t>
      </w:r>
      <w:r w:rsidR="00D3194B">
        <w:t>Framework</w:t>
      </w:r>
      <w:r>
        <w:t xml:space="preserve"> of Bhutan.</w:t>
      </w:r>
    </w:p>
    <w:p w14:paraId="6587D636" w14:textId="77777777" w:rsidR="008D728F" w:rsidRDefault="008D728F" w:rsidP="008D728F">
      <w:pPr>
        <w:widowControl w:val="0"/>
        <w:tabs>
          <w:tab w:val="left" w:pos="523"/>
          <w:tab w:val="left" w:pos="525"/>
        </w:tabs>
        <w:spacing w:line="240" w:lineRule="auto"/>
        <w:ind w:right="18"/>
        <w:jc w:val="both"/>
      </w:pPr>
    </w:p>
    <w:p w14:paraId="2731B9A6" w14:textId="77777777" w:rsidR="008D728F" w:rsidRDefault="008D728F" w:rsidP="008D728F">
      <w:pPr>
        <w:pStyle w:val="ListParagraph"/>
      </w:pPr>
    </w:p>
    <w:p w14:paraId="39ABDB97" w14:textId="77777777" w:rsidR="00B82ACC" w:rsidRDefault="001830A8" w:rsidP="008D728F">
      <w:pPr>
        <w:widowControl w:val="0"/>
        <w:numPr>
          <w:ilvl w:val="0"/>
          <w:numId w:val="1"/>
        </w:numPr>
        <w:tabs>
          <w:tab w:val="left" w:pos="523"/>
          <w:tab w:val="left" w:pos="525"/>
        </w:tabs>
        <w:spacing w:line="240" w:lineRule="auto"/>
        <w:ind w:right="18"/>
        <w:jc w:val="both"/>
      </w:pPr>
      <w:r>
        <w:t>Interested parties may submit applications for eligible carbon credit projects in Bhutan seeking authorization under Article 6 of the Paris Agreement. Bhutan and Singapore will assess applications against each country’s requirements on a rolling basis as they are received.</w:t>
      </w:r>
    </w:p>
    <w:p w14:paraId="1113F1DF" w14:textId="77777777" w:rsidR="00B82ACC" w:rsidRDefault="00B82ACC">
      <w:pPr>
        <w:widowControl w:val="0"/>
        <w:spacing w:line="240" w:lineRule="auto"/>
      </w:pPr>
    </w:p>
    <w:p w14:paraId="4532AC76" w14:textId="77777777" w:rsidR="00B82ACC" w:rsidRDefault="001830A8">
      <w:pPr>
        <w:widowControl w:val="0"/>
        <w:numPr>
          <w:ilvl w:val="1"/>
          <w:numId w:val="1"/>
        </w:numPr>
        <w:tabs>
          <w:tab w:val="left" w:pos="1243"/>
        </w:tabs>
        <w:spacing w:line="240" w:lineRule="auto"/>
        <w:ind w:left="1243" w:hanging="358"/>
      </w:pPr>
      <w:r>
        <w:t xml:space="preserve">For Bhutan, the projects must meet the requirements of Bhutan’s Carbon Market </w:t>
      </w:r>
      <w:r w:rsidR="00D3194B">
        <w:t>Framework</w:t>
      </w:r>
      <w:r>
        <w:t>.</w:t>
      </w:r>
    </w:p>
    <w:p w14:paraId="440F0A67" w14:textId="77777777" w:rsidR="00B82ACC" w:rsidRDefault="00B82ACC">
      <w:pPr>
        <w:widowControl w:val="0"/>
        <w:spacing w:before="39" w:line="240" w:lineRule="auto"/>
      </w:pPr>
    </w:p>
    <w:p w14:paraId="100EDB9A" w14:textId="77777777" w:rsidR="00B82ACC" w:rsidRDefault="001830A8">
      <w:pPr>
        <w:widowControl w:val="0"/>
        <w:numPr>
          <w:ilvl w:val="1"/>
          <w:numId w:val="1"/>
        </w:numPr>
        <w:tabs>
          <w:tab w:val="left" w:pos="1243"/>
          <w:tab w:val="left" w:pos="1245"/>
        </w:tabs>
        <w:spacing w:line="240" w:lineRule="auto"/>
        <w:ind w:right="18"/>
        <w:jc w:val="both"/>
      </w:pPr>
      <w:r>
        <w:t>Additionally, the eligibility criteria and the list of carbon crediting programmes and methodologies under the Singapore</w:t>
      </w:r>
      <w:r w:rsidR="00356EFD">
        <w:t>-</w:t>
      </w:r>
      <w:r>
        <w:t>Bhutan Implementation Agreement, which are in Annex C, will apply.</w:t>
      </w:r>
    </w:p>
    <w:p w14:paraId="250B4FAE" w14:textId="77777777" w:rsidR="00B82ACC" w:rsidRDefault="00B82ACC">
      <w:pPr>
        <w:widowControl w:val="0"/>
        <w:spacing w:before="41" w:line="240" w:lineRule="auto"/>
      </w:pPr>
    </w:p>
    <w:p w14:paraId="3DFC8A8C" w14:textId="77777777" w:rsidR="00B82ACC" w:rsidRDefault="001830A8">
      <w:pPr>
        <w:widowControl w:val="0"/>
        <w:numPr>
          <w:ilvl w:val="1"/>
          <w:numId w:val="1"/>
        </w:numPr>
        <w:tabs>
          <w:tab w:val="left" w:pos="1245"/>
        </w:tabs>
        <w:spacing w:line="240" w:lineRule="auto"/>
        <w:ind w:right="19"/>
        <w:jc w:val="both"/>
      </w:pPr>
      <w:r>
        <w:t>The carbon crediting programmes and methodologies list will be reviewed regularly to maintain relevance and uphold environmental integrity.</w:t>
      </w:r>
    </w:p>
    <w:p w14:paraId="1C5BE983" w14:textId="77777777" w:rsidR="00B82ACC" w:rsidRDefault="00B82ACC">
      <w:pPr>
        <w:widowControl w:val="0"/>
        <w:spacing w:before="252" w:line="240" w:lineRule="auto"/>
      </w:pPr>
    </w:p>
    <w:p w14:paraId="0D1A1977" w14:textId="77777777" w:rsidR="00B82ACC" w:rsidRDefault="001830A8">
      <w:pPr>
        <w:widowControl w:val="0"/>
        <w:spacing w:line="240" w:lineRule="auto"/>
        <w:ind w:left="165"/>
      </w:pPr>
      <w:r>
        <w:t xml:space="preserve">Please get in touch with us for further information at </w:t>
      </w:r>
    </w:p>
    <w:p w14:paraId="3D4F99A9" w14:textId="77777777" w:rsidR="00B82ACC" w:rsidRDefault="00B82ACC">
      <w:pPr>
        <w:widowControl w:val="0"/>
        <w:spacing w:before="1" w:line="240" w:lineRule="auto"/>
      </w:pPr>
    </w:p>
    <w:p w14:paraId="31C6C169" w14:textId="77777777" w:rsidR="00B82ACC" w:rsidRDefault="001830A8">
      <w:pPr>
        <w:widowControl w:val="0"/>
        <w:spacing w:line="240" w:lineRule="auto"/>
        <w:ind w:left="165"/>
      </w:pPr>
      <w:r>
        <w:t>You can also contact us via:</w:t>
      </w:r>
    </w:p>
    <w:p w14:paraId="30F6AAE4" w14:textId="77777777" w:rsidR="00B82ACC" w:rsidRDefault="00B82ACC">
      <w:pPr>
        <w:widowControl w:val="0"/>
        <w:spacing w:line="240" w:lineRule="auto"/>
        <w:rPr>
          <w:i/>
        </w:rPr>
      </w:pPr>
    </w:p>
    <w:p w14:paraId="0206CD31" w14:textId="77777777" w:rsidR="00B82ACC" w:rsidRDefault="001830A8">
      <w:pPr>
        <w:widowControl w:val="0"/>
        <w:tabs>
          <w:tab w:val="left" w:pos="5206"/>
        </w:tabs>
        <w:spacing w:line="240" w:lineRule="auto"/>
        <w:ind w:left="165"/>
      </w:pPr>
      <w:r>
        <w:t>Mr. Sonam Tashi</w:t>
      </w:r>
      <w:r>
        <w:tab/>
        <w:t>Mr. Langa Dorji</w:t>
      </w:r>
    </w:p>
    <w:p w14:paraId="59FA748A" w14:textId="77777777" w:rsidR="00B82ACC" w:rsidRDefault="001830A8">
      <w:pPr>
        <w:widowControl w:val="0"/>
        <w:tabs>
          <w:tab w:val="left" w:pos="5206"/>
        </w:tabs>
        <w:spacing w:before="38"/>
        <w:ind w:left="165" w:right="45"/>
      </w:pPr>
      <w:r>
        <w:t xml:space="preserve">Director, DECC                                                          Deputy Chief Environment Officer </w:t>
      </w:r>
    </w:p>
    <w:p w14:paraId="7855C49F" w14:textId="2A2A92C8" w:rsidR="00B82ACC" w:rsidRDefault="001830A8">
      <w:pPr>
        <w:widowControl w:val="0"/>
        <w:tabs>
          <w:tab w:val="left" w:pos="5206"/>
        </w:tabs>
        <w:spacing w:before="38"/>
        <w:ind w:left="165" w:right="45"/>
      </w:pPr>
      <w:r>
        <w:t>Email ID:</w:t>
      </w:r>
      <w:r w:rsidR="008D728F">
        <w:t xml:space="preserve"> </w:t>
      </w:r>
      <w:r>
        <w:t xml:space="preserve">stashi@moenr.gov.bt                                 </w:t>
      </w:r>
      <w:r>
        <w:t>Email ID:</w:t>
      </w:r>
      <w:r w:rsidR="008D728F">
        <w:t xml:space="preserve"> </w:t>
      </w:r>
      <w:r>
        <w:t>langadorji@moenr.gov.bt</w:t>
      </w:r>
    </w:p>
    <w:p w14:paraId="03F8EE5A" w14:textId="77777777" w:rsidR="00B82ACC" w:rsidRDefault="00B82ACC">
      <w:pPr>
        <w:widowControl w:val="0"/>
        <w:spacing w:before="1" w:line="240" w:lineRule="auto"/>
      </w:pPr>
    </w:p>
    <w:p w14:paraId="7FDCAE8F" w14:textId="77777777" w:rsidR="00B82ACC" w:rsidRDefault="001830A8">
      <w:pPr>
        <w:widowControl w:val="0"/>
        <w:spacing w:before="1" w:line="240" w:lineRule="auto"/>
        <w:ind w:left="165"/>
      </w:pPr>
      <w:r>
        <w:t>Issued by:</w:t>
      </w:r>
    </w:p>
    <w:p w14:paraId="5021A92C" w14:textId="77777777" w:rsidR="00B82ACC" w:rsidRDefault="001830A8">
      <w:pPr>
        <w:widowControl w:val="0"/>
        <w:spacing w:before="251" w:line="240" w:lineRule="auto"/>
        <w:ind w:left="165"/>
      </w:pPr>
      <w:r>
        <w:t xml:space="preserve">The Department of Environment and Climate Change </w:t>
      </w:r>
    </w:p>
    <w:p w14:paraId="3663D553" w14:textId="77777777" w:rsidR="00B82ACC" w:rsidRDefault="001830A8">
      <w:pPr>
        <w:widowControl w:val="0"/>
        <w:spacing w:before="1" w:line="240" w:lineRule="auto"/>
        <w:ind w:left="165"/>
      </w:pPr>
      <w:r>
        <w:t xml:space="preserve">Ministry of Energy and Natural Resources, Royal Government of Bhutan </w:t>
      </w:r>
    </w:p>
    <w:p w14:paraId="2EFBB0E9" w14:textId="77777777" w:rsidR="00B82ACC" w:rsidRDefault="00B82ACC">
      <w:pPr>
        <w:widowControl w:val="0"/>
        <w:spacing w:before="1" w:line="240" w:lineRule="auto"/>
        <w:ind w:left="165"/>
      </w:pPr>
    </w:p>
    <w:p w14:paraId="08BEB9BB" w14:textId="77777777" w:rsidR="00B82ACC" w:rsidRDefault="00B82ACC">
      <w:pPr>
        <w:widowControl w:val="0"/>
        <w:spacing w:before="1" w:line="240" w:lineRule="auto"/>
        <w:ind w:left="165"/>
      </w:pPr>
    </w:p>
    <w:p w14:paraId="17E801AB" w14:textId="77777777" w:rsidR="00B82ACC" w:rsidRDefault="00B82ACC">
      <w:pPr>
        <w:widowControl w:val="0"/>
        <w:spacing w:before="1" w:line="240" w:lineRule="auto"/>
        <w:ind w:left="165"/>
      </w:pPr>
    </w:p>
    <w:p w14:paraId="3A94C295" w14:textId="77777777" w:rsidR="00B82ACC" w:rsidRDefault="00B82ACC">
      <w:pPr>
        <w:widowControl w:val="0"/>
        <w:spacing w:before="1" w:line="240" w:lineRule="auto"/>
        <w:ind w:left="165"/>
      </w:pPr>
    </w:p>
    <w:p w14:paraId="77F99036" w14:textId="77777777" w:rsidR="00B82ACC" w:rsidRDefault="00B82ACC">
      <w:pPr>
        <w:widowControl w:val="0"/>
        <w:spacing w:before="1" w:line="240" w:lineRule="auto"/>
        <w:ind w:left="165"/>
      </w:pPr>
    </w:p>
    <w:p w14:paraId="3C1E6FC3" w14:textId="77777777" w:rsidR="00B82ACC" w:rsidRDefault="00B82ACC">
      <w:pPr>
        <w:widowControl w:val="0"/>
        <w:spacing w:before="1" w:line="240" w:lineRule="auto"/>
        <w:ind w:left="165"/>
      </w:pPr>
    </w:p>
    <w:p w14:paraId="76B26753" w14:textId="77777777" w:rsidR="00B82ACC" w:rsidRDefault="00B82ACC">
      <w:pPr>
        <w:widowControl w:val="0"/>
        <w:spacing w:before="1" w:line="240" w:lineRule="auto"/>
        <w:ind w:left="165"/>
      </w:pPr>
    </w:p>
    <w:p w14:paraId="3532D30A" w14:textId="77777777" w:rsidR="00B82ACC" w:rsidRDefault="00B82ACC">
      <w:pPr>
        <w:widowControl w:val="0"/>
        <w:spacing w:before="1" w:line="240" w:lineRule="auto"/>
        <w:ind w:left="165"/>
      </w:pPr>
    </w:p>
    <w:p w14:paraId="79D6F215" w14:textId="77777777" w:rsidR="00B82ACC" w:rsidRDefault="00B82ACC">
      <w:pPr>
        <w:widowControl w:val="0"/>
        <w:spacing w:before="1" w:line="240" w:lineRule="auto"/>
        <w:ind w:left="165"/>
      </w:pPr>
    </w:p>
    <w:p w14:paraId="46120C76" w14:textId="77777777" w:rsidR="00B82ACC" w:rsidRDefault="00B82ACC">
      <w:pPr>
        <w:widowControl w:val="0"/>
        <w:spacing w:before="1" w:line="240" w:lineRule="auto"/>
        <w:ind w:left="165"/>
      </w:pPr>
    </w:p>
    <w:p w14:paraId="3D74D605" w14:textId="77777777" w:rsidR="00B82ACC" w:rsidRDefault="00B82ACC">
      <w:pPr>
        <w:widowControl w:val="0"/>
        <w:spacing w:before="1" w:line="240" w:lineRule="auto"/>
        <w:ind w:left="165"/>
      </w:pPr>
    </w:p>
    <w:p w14:paraId="46435EC6" w14:textId="77777777" w:rsidR="00B82ACC" w:rsidRDefault="00B82ACC">
      <w:pPr>
        <w:widowControl w:val="0"/>
        <w:spacing w:before="1" w:line="240" w:lineRule="auto"/>
        <w:ind w:left="165"/>
      </w:pPr>
    </w:p>
    <w:p w14:paraId="2197AD6B" w14:textId="77777777" w:rsidR="00B82ACC" w:rsidRDefault="00B82ACC">
      <w:pPr>
        <w:widowControl w:val="0"/>
        <w:spacing w:before="1" w:line="240" w:lineRule="auto"/>
        <w:ind w:left="165"/>
      </w:pPr>
    </w:p>
    <w:p w14:paraId="52E4B364" w14:textId="77777777" w:rsidR="00B82ACC" w:rsidRDefault="00B82ACC" w:rsidP="0016204B">
      <w:pPr>
        <w:widowControl w:val="0"/>
        <w:spacing w:before="1" w:line="240" w:lineRule="auto"/>
      </w:pPr>
    </w:p>
    <w:p w14:paraId="2AC2F525" w14:textId="77777777" w:rsidR="00B82ACC" w:rsidRDefault="001830A8">
      <w:pPr>
        <w:widowControl w:val="0"/>
        <w:spacing w:before="96" w:after="200" w:line="240" w:lineRule="auto"/>
        <w:rPr>
          <w:b/>
        </w:rPr>
      </w:pPr>
      <w:r>
        <w:rPr>
          <w:b/>
        </w:rPr>
        <w:t xml:space="preserve">Annex A: </w:t>
      </w:r>
    </w:p>
    <w:p w14:paraId="144362E9" w14:textId="77777777" w:rsidR="00B82ACC" w:rsidRDefault="001830A8">
      <w:pPr>
        <w:widowControl w:val="0"/>
        <w:spacing w:before="96" w:after="200" w:line="240" w:lineRule="auto"/>
        <w:rPr>
          <w:b/>
        </w:rPr>
      </w:pPr>
      <w:r>
        <w:rPr>
          <w:b/>
        </w:rPr>
        <w:t>Positive list of projects under Article 6 of the Paris Agreement</w:t>
      </w:r>
    </w:p>
    <w:tbl>
      <w:tblPr>
        <w:tblStyle w:val="a2"/>
        <w:tblW w:w="9077"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840"/>
        <w:gridCol w:w="8237"/>
      </w:tblGrid>
      <w:tr w:rsidR="00B82ACC" w14:paraId="7C5461E1" w14:textId="77777777" w:rsidTr="0016204B">
        <w:trPr>
          <w:trHeight w:val="54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8364FA5" w14:textId="77777777" w:rsidR="00B82ACC" w:rsidRDefault="001830A8">
            <w:pPr>
              <w:widowControl w:val="0"/>
            </w:pPr>
            <w:r>
              <w:rPr>
                <w:b/>
              </w:rPr>
              <w:lastRenderedPageBreak/>
              <w:t>Sl. No.</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69A6653" w14:textId="77777777" w:rsidR="00B82ACC" w:rsidRDefault="001830A8">
            <w:pPr>
              <w:widowControl w:val="0"/>
            </w:pPr>
            <w:r>
              <w:rPr>
                <w:b/>
              </w:rPr>
              <w:t xml:space="preserve">Positive List </w:t>
            </w:r>
          </w:p>
        </w:tc>
      </w:tr>
      <w:tr w:rsidR="00B82ACC" w14:paraId="4A4A7E11" w14:textId="77777777" w:rsidTr="0016204B">
        <w:trPr>
          <w:trHeight w:val="30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C3BEBE0" w14:textId="77777777" w:rsidR="00B82ACC" w:rsidRDefault="001830A8">
            <w:pPr>
              <w:widowControl w:val="0"/>
              <w:jc w:val="right"/>
            </w:pPr>
            <w:r>
              <w:t>1</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1D4C306" w14:textId="77777777" w:rsidR="00B82ACC" w:rsidRDefault="001830A8">
            <w:pPr>
              <w:widowControl w:val="0"/>
              <w:jc w:val="both"/>
            </w:pPr>
            <w:r>
              <w:t>Development of renewable energy projects focus on reducing greenhouse gas (GHG) emissions</w:t>
            </w:r>
          </w:p>
        </w:tc>
      </w:tr>
      <w:tr w:rsidR="00B82ACC" w14:paraId="7A78C32C" w14:textId="77777777" w:rsidTr="0016204B">
        <w:trPr>
          <w:trHeight w:val="51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6D3378E" w14:textId="77777777" w:rsidR="00B82ACC" w:rsidRDefault="001830A8">
            <w:pPr>
              <w:widowControl w:val="0"/>
              <w:spacing w:line="240" w:lineRule="auto"/>
              <w:jc w:val="right"/>
            </w:pPr>
            <w:r>
              <w:t>2</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0071336" w14:textId="77777777" w:rsidR="00B82ACC" w:rsidRDefault="001830A8">
            <w:pPr>
              <w:widowControl w:val="0"/>
              <w:spacing w:line="240" w:lineRule="auto"/>
              <w:jc w:val="both"/>
            </w:pPr>
            <w:r>
              <w:t>Development and installation of renewable and energy-efficient technology systems (e.g.  energy efficient cookstoves, thermal and</w:t>
            </w:r>
            <w:r w:rsidR="00356EFD">
              <w:t xml:space="preserve"> </w:t>
            </w:r>
            <w:r>
              <w:t>electrical efficient systems in buildings), and process improvement (in industry sectors) with focus on reducing greenhouse gas (GHG) emissions</w:t>
            </w:r>
          </w:p>
        </w:tc>
      </w:tr>
      <w:tr w:rsidR="00B82ACC" w14:paraId="5F70A40A" w14:textId="77777777" w:rsidTr="0016204B">
        <w:trPr>
          <w:trHeight w:val="30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5E476E8" w14:textId="77777777" w:rsidR="00B82ACC" w:rsidRDefault="001830A8">
            <w:pPr>
              <w:widowControl w:val="0"/>
              <w:jc w:val="right"/>
            </w:pPr>
            <w:r>
              <w:t>3</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8B268F1" w14:textId="77777777" w:rsidR="00B82ACC" w:rsidRDefault="001830A8">
            <w:pPr>
              <w:widowControl w:val="0"/>
              <w:jc w:val="both"/>
            </w:pPr>
            <w:r>
              <w:t>Development of green infrastructure with focus on reducing greenhouse gas (GHG) emissions</w:t>
            </w:r>
          </w:p>
        </w:tc>
      </w:tr>
      <w:tr w:rsidR="00B82ACC" w14:paraId="0484BE8C" w14:textId="77777777" w:rsidTr="0016204B">
        <w:trPr>
          <w:trHeight w:val="525"/>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F520033" w14:textId="77777777" w:rsidR="00B82ACC" w:rsidRDefault="001830A8">
            <w:pPr>
              <w:widowControl w:val="0"/>
              <w:jc w:val="right"/>
            </w:pPr>
            <w:r>
              <w:t>4</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7DEAC4D" w14:textId="77777777" w:rsidR="00B82ACC" w:rsidRDefault="001830A8">
            <w:pPr>
              <w:widowControl w:val="0"/>
              <w:jc w:val="both"/>
            </w:pPr>
            <w:r>
              <w:t>Development of integrated waste management projects, such as waste-to-energy, material recovery facilities, sanitary landfill, waste water management and other activities with focus on reducing greenhouse gas (GHG) emissions</w:t>
            </w:r>
          </w:p>
        </w:tc>
      </w:tr>
      <w:tr w:rsidR="00B82ACC" w14:paraId="3BB500B6" w14:textId="77777777" w:rsidTr="0016204B">
        <w:trPr>
          <w:trHeight w:val="525"/>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38EB9A7" w14:textId="77777777" w:rsidR="00B82ACC" w:rsidRDefault="001830A8">
            <w:pPr>
              <w:widowControl w:val="0"/>
              <w:jc w:val="right"/>
            </w:pPr>
            <w:r>
              <w:t>5</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752FBB" w14:textId="77777777" w:rsidR="00B82ACC" w:rsidRDefault="001830A8">
            <w:pPr>
              <w:widowControl w:val="0"/>
              <w:jc w:val="both"/>
            </w:pPr>
            <w:r>
              <w:t>Development and promotion of low carbon transport (alternative fuel, electric and hydrogen-based) and related activities with focus on reducing greenhouse gas (GHG) emissions</w:t>
            </w:r>
          </w:p>
        </w:tc>
      </w:tr>
      <w:tr w:rsidR="00B82ACC" w14:paraId="2504EF2F" w14:textId="77777777" w:rsidTr="0016204B">
        <w:trPr>
          <w:trHeight w:val="30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9E90F8C" w14:textId="77777777" w:rsidR="00B82ACC" w:rsidRDefault="001830A8">
            <w:pPr>
              <w:widowControl w:val="0"/>
              <w:jc w:val="right"/>
            </w:pPr>
            <w:r>
              <w:t>6</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D0647FF" w14:textId="77777777" w:rsidR="00B82ACC" w:rsidRDefault="001830A8">
            <w:pPr>
              <w:widowControl w:val="0"/>
              <w:jc w:val="both"/>
            </w:pPr>
            <w:r>
              <w:t>Development and use of alternative fuels such as biofuels, and green hydrogen and derivatives with focus on reducing greenhouse gas (GHG) emissions</w:t>
            </w:r>
          </w:p>
        </w:tc>
      </w:tr>
      <w:tr w:rsidR="00B82ACC" w14:paraId="383E0E18" w14:textId="77777777" w:rsidTr="0016204B">
        <w:trPr>
          <w:trHeight w:val="30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58A721" w14:textId="77777777" w:rsidR="00B82ACC" w:rsidRDefault="001830A8">
            <w:pPr>
              <w:widowControl w:val="0"/>
              <w:jc w:val="right"/>
            </w:pPr>
            <w:r>
              <w:t>7</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9107AA5" w14:textId="77777777" w:rsidR="00B82ACC" w:rsidRDefault="001830A8">
            <w:pPr>
              <w:widowControl w:val="0"/>
              <w:jc w:val="both"/>
            </w:pPr>
            <w:r>
              <w:t xml:space="preserve">Mitigation Projects related to agroforestry and sustainable agriculture with focus on reducing greenhouse gas (GHG) emissions </w:t>
            </w:r>
          </w:p>
        </w:tc>
      </w:tr>
      <w:tr w:rsidR="00B82ACC" w14:paraId="7D1F8597" w14:textId="77777777" w:rsidTr="0016204B">
        <w:trPr>
          <w:trHeight w:val="30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FAF75C0" w14:textId="77777777" w:rsidR="00B82ACC" w:rsidRDefault="001830A8">
            <w:pPr>
              <w:widowControl w:val="0"/>
              <w:jc w:val="right"/>
            </w:pPr>
            <w:r>
              <w:t>8</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49452815" w14:textId="77777777" w:rsidR="00B82ACC" w:rsidRDefault="001830A8">
            <w:pPr>
              <w:widowControl w:val="0"/>
              <w:jc w:val="both"/>
            </w:pPr>
            <w:r>
              <w:t>Mitigation Projects related to afforestation, reforestation and restoration (wetlands and rangeland included) projects with focus on reducing greenhouse gas (GHG) emissions</w:t>
            </w:r>
          </w:p>
        </w:tc>
      </w:tr>
      <w:tr w:rsidR="00B82ACC" w14:paraId="5F17ABBE" w14:textId="77777777" w:rsidTr="0016204B">
        <w:trPr>
          <w:trHeight w:val="300"/>
        </w:trPr>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D54FB80" w14:textId="77777777" w:rsidR="00B82ACC" w:rsidRDefault="001830A8">
            <w:pPr>
              <w:widowControl w:val="0"/>
              <w:jc w:val="right"/>
            </w:pPr>
            <w:r>
              <w:t>9</w:t>
            </w:r>
          </w:p>
        </w:tc>
        <w:tc>
          <w:tcPr>
            <w:tcW w:w="823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412AE8" w14:textId="77777777" w:rsidR="00B82ACC" w:rsidRDefault="001830A8">
            <w:pPr>
              <w:widowControl w:val="0"/>
              <w:jc w:val="both"/>
            </w:pPr>
            <w:r>
              <w:t>Mitigation projects related to livestock management typically with focus on reducing greenhouse gas (GHG) emissions</w:t>
            </w:r>
          </w:p>
        </w:tc>
      </w:tr>
    </w:tbl>
    <w:p w14:paraId="2A249156" w14:textId="77777777" w:rsidR="00B82ACC" w:rsidRDefault="00B82ACC">
      <w:pPr>
        <w:spacing w:line="240" w:lineRule="auto"/>
        <w:jc w:val="both"/>
      </w:pPr>
    </w:p>
    <w:p w14:paraId="57E85506" w14:textId="77777777" w:rsidR="00B82ACC" w:rsidRDefault="001830A8">
      <w:pPr>
        <w:spacing w:line="240" w:lineRule="auto"/>
        <w:jc w:val="both"/>
      </w:pPr>
      <w:r>
        <w:rPr>
          <w:b/>
        </w:rPr>
        <w:t>Note:</w:t>
      </w:r>
      <w:r>
        <w:t xml:space="preserve"> The above list is indicative and will be revised as needed to incorporate new technologies that contribute to mitigation actions in the country, based on specific requests. </w:t>
      </w:r>
    </w:p>
    <w:p w14:paraId="0712BDA5" w14:textId="77777777" w:rsidR="00B82ACC" w:rsidRDefault="00B82ACC">
      <w:pPr>
        <w:spacing w:line="240" w:lineRule="auto"/>
        <w:jc w:val="both"/>
      </w:pPr>
    </w:p>
    <w:p w14:paraId="75021D15" w14:textId="77777777" w:rsidR="00B82ACC" w:rsidRDefault="00B82ACC">
      <w:pPr>
        <w:spacing w:line="240" w:lineRule="auto"/>
        <w:jc w:val="both"/>
      </w:pPr>
    </w:p>
    <w:p w14:paraId="6D22AD08" w14:textId="77777777" w:rsidR="00B82ACC" w:rsidRDefault="00B82ACC">
      <w:pPr>
        <w:spacing w:line="240" w:lineRule="auto"/>
        <w:jc w:val="both"/>
      </w:pPr>
    </w:p>
    <w:p w14:paraId="6654F63A" w14:textId="77777777" w:rsidR="00B82ACC" w:rsidRDefault="00B82ACC">
      <w:pPr>
        <w:spacing w:line="240" w:lineRule="auto"/>
        <w:jc w:val="both"/>
      </w:pPr>
    </w:p>
    <w:p w14:paraId="647705AE" w14:textId="77777777" w:rsidR="00B82ACC" w:rsidRDefault="00B82ACC">
      <w:pPr>
        <w:spacing w:line="240" w:lineRule="auto"/>
        <w:jc w:val="both"/>
      </w:pPr>
    </w:p>
    <w:p w14:paraId="4521D2A8" w14:textId="77777777" w:rsidR="00B82ACC" w:rsidRDefault="00B82ACC">
      <w:pPr>
        <w:spacing w:line="240" w:lineRule="auto"/>
        <w:jc w:val="both"/>
      </w:pPr>
    </w:p>
    <w:p w14:paraId="3D9B46D5" w14:textId="77777777" w:rsidR="00CD0F88" w:rsidRDefault="00CD0F88">
      <w:pPr>
        <w:spacing w:line="240" w:lineRule="auto"/>
        <w:jc w:val="both"/>
      </w:pPr>
    </w:p>
    <w:p w14:paraId="08F91E04" w14:textId="77777777" w:rsidR="00CD0F88" w:rsidRDefault="00CD0F88">
      <w:pPr>
        <w:spacing w:line="240" w:lineRule="auto"/>
        <w:jc w:val="both"/>
      </w:pPr>
    </w:p>
    <w:p w14:paraId="5801419D" w14:textId="77777777" w:rsidR="00CD0F88" w:rsidRDefault="00CD0F88">
      <w:pPr>
        <w:spacing w:line="240" w:lineRule="auto"/>
        <w:jc w:val="both"/>
      </w:pPr>
    </w:p>
    <w:p w14:paraId="433F0CC9" w14:textId="77777777" w:rsidR="00CD0F88" w:rsidRDefault="00CD0F88">
      <w:pPr>
        <w:spacing w:line="240" w:lineRule="auto"/>
        <w:jc w:val="both"/>
      </w:pPr>
    </w:p>
    <w:p w14:paraId="64DA524F" w14:textId="77777777" w:rsidR="00CD0F88" w:rsidRDefault="00CD0F88">
      <w:pPr>
        <w:spacing w:line="240" w:lineRule="auto"/>
        <w:jc w:val="both"/>
      </w:pPr>
    </w:p>
    <w:p w14:paraId="269491FE" w14:textId="77777777" w:rsidR="0016204B" w:rsidRDefault="0016204B">
      <w:pPr>
        <w:widowControl w:val="0"/>
        <w:spacing w:line="240" w:lineRule="auto"/>
      </w:pPr>
    </w:p>
    <w:p w14:paraId="2CB18954" w14:textId="77777777" w:rsidR="00B82ACC" w:rsidRDefault="001830A8">
      <w:pPr>
        <w:widowControl w:val="0"/>
        <w:spacing w:line="240" w:lineRule="auto"/>
        <w:rPr>
          <w:b/>
        </w:rPr>
      </w:pPr>
      <w:r>
        <w:rPr>
          <w:b/>
          <w:u w:val="single"/>
        </w:rPr>
        <w:t>Annex B</w:t>
      </w:r>
    </w:p>
    <w:p w14:paraId="31EE1D01" w14:textId="77777777" w:rsidR="00B82ACC" w:rsidRDefault="001830A8">
      <w:pPr>
        <w:widowControl w:val="0"/>
        <w:spacing w:line="240" w:lineRule="auto"/>
        <w:rPr>
          <w:b/>
          <w:u w:val="single"/>
        </w:rPr>
      </w:pPr>
      <w:r>
        <w:rPr>
          <w:b/>
          <w:u w:val="single"/>
        </w:rPr>
        <w:t>Authorisation Process</w:t>
      </w:r>
    </w:p>
    <w:p w14:paraId="16DB7FC4" w14:textId="77777777" w:rsidR="00B82ACC" w:rsidRDefault="00B82ACC">
      <w:pPr>
        <w:widowControl w:val="0"/>
        <w:spacing w:line="240" w:lineRule="auto"/>
        <w:rPr>
          <w:b/>
          <w:u w:val="single"/>
        </w:rPr>
      </w:pPr>
    </w:p>
    <w:p w14:paraId="7DC131DB" w14:textId="77777777" w:rsidR="00B82ACC" w:rsidRDefault="00B82ACC">
      <w:pPr>
        <w:widowControl w:val="0"/>
        <w:spacing w:line="240" w:lineRule="auto"/>
        <w:rPr>
          <w:b/>
          <w:u w:val="single"/>
        </w:rPr>
      </w:pPr>
    </w:p>
    <w:tbl>
      <w:tblPr>
        <w:tblStyle w:val="a3"/>
        <w:tblW w:w="9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780"/>
      </w:tblGrid>
      <w:tr w:rsidR="00B82ACC" w14:paraId="7B1C1D9A" w14:textId="77777777">
        <w:tc>
          <w:tcPr>
            <w:tcW w:w="2430" w:type="dxa"/>
            <w:tcMar>
              <w:top w:w="100" w:type="dxa"/>
              <w:left w:w="100" w:type="dxa"/>
              <w:bottom w:w="100" w:type="dxa"/>
              <w:right w:w="100" w:type="dxa"/>
            </w:tcMar>
          </w:tcPr>
          <w:p w14:paraId="77A28C7A" w14:textId="77777777" w:rsidR="00B82ACC" w:rsidRDefault="001830A8">
            <w:pPr>
              <w:widowControl w:val="0"/>
              <w:ind w:left="112" w:right="255"/>
              <w:rPr>
                <w:b/>
                <w:u w:val="single"/>
              </w:rPr>
            </w:pPr>
            <w:r>
              <w:rPr>
                <w:b/>
              </w:rPr>
              <w:lastRenderedPageBreak/>
              <w:t>Joint Committee</w:t>
            </w:r>
          </w:p>
        </w:tc>
        <w:tc>
          <w:tcPr>
            <w:tcW w:w="6780" w:type="dxa"/>
            <w:tcMar>
              <w:top w:w="100" w:type="dxa"/>
              <w:left w:w="100" w:type="dxa"/>
              <w:bottom w:w="100" w:type="dxa"/>
              <w:right w:w="100" w:type="dxa"/>
            </w:tcMar>
          </w:tcPr>
          <w:p w14:paraId="31F41025" w14:textId="77777777" w:rsidR="00B82ACC" w:rsidRDefault="001830A8">
            <w:pPr>
              <w:widowControl w:val="0"/>
              <w:ind w:left="115" w:right="236"/>
              <w:jc w:val="both"/>
              <w:rPr>
                <w:b/>
                <w:u w:val="single"/>
              </w:rPr>
            </w:pPr>
            <w:r>
              <w:t xml:space="preserve">The Joint Committee is a coordination body that oversees the administration of the Implementation Agreement. Under the Singapore-Bhutan Implementation Agreement, the Joint Committee is co-chaired by the Director-General of Climate Change at the National Climate Change Secretariat of Singapore and the Director of the Department of Environment and Climate Change, Ministry of Energy and Natural Resources, Bhutan. </w:t>
            </w:r>
          </w:p>
        </w:tc>
      </w:tr>
      <w:tr w:rsidR="00B82ACC" w14:paraId="7F8545AC" w14:textId="77777777">
        <w:tc>
          <w:tcPr>
            <w:tcW w:w="2430" w:type="dxa"/>
            <w:tcMar>
              <w:top w:w="100" w:type="dxa"/>
              <w:left w:w="100" w:type="dxa"/>
              <w:bottom w:w="100" w:type="dxa"/>
              <w:right w:w="100" w:type="dxa"/>
            </w:tcMar>
          </w:tcPr>
          <w:p w14:paraId="00A885B3" w14:textId="77777777" w:rsidR="00B82ACC" w:rsidRDefault="001830A8">
            <w:pPr>
              <w:widowControl w:val="0"/>
              <w:ind w:left="112"/>
              <w:rPr>
                <w:b/>
                <w:u w:val="single"/>
              </w:rPr>
            </w:pPr>
            <w:r>
              <w:rPr>
                <w:b/>
              </w:rPr>
              <w:t>Stage A: Project Application</w:t>
            </w:r>
          </w:p>
        </w:tc>
        <w:tc>
          <w:tcPr>
            <w:tcW w:w="6780" w:type="dxa"/>
            <w:tcMar>
              <w:top w:w="100" w:type="dxa"/>
              <w:left w:w="100" w:type="dxa"/>
              <w:bottom w:w="100" w:type="dxa"/>
              <w:right w:w="100" w:type="dxa"/>
            </w:tcMar>
          </w:tcPr>
          <w:p w14:paraId="5C1DD51B" w14:textId="77777777" w:rsidR="00B82ACC" w:rsidRDefault="001830A8">
            <w:pPr>
              <w:widowControl w:val="0"/>
              <w:spacing w:before="144" w:line="240" w:lineRule="auto"/>
              <w:ind w:left="115"/>
              <w:jc w:val="both"/>
              <w:rPr>
                <w:b/>
                <w:u w:val="single"/>
              </w:rPr>
            </w:pPr>
            <w:r>
              <w:t>Applicants are to submit a duly filled Mitigation Activity Note of Intent (in English) on the proposed project to Joint Committee, indicating the programme and methodology under which the project will be developed and broadly how the project will be implemented to uphold environmental integrity (e.g., explanations on how the project will demonstrate additionality).</w:t>
            </w:r>
          </w:p>
        </w:tc>
      </w:tr>
      <w:tr w:rsidR="00B82ACC" w14:paraId="124D993B" w14:textId="77777777">
        <w:tc>
          <w:tcPr>
            <w:tcW w:w="2430" w:type="dxa"/>
            <w:tcMar>
              <w:top w:w="100" w:type="dxa"/>
              <w:left w:w="100" w:type="dxa"/>
              <w:bottom w:w="100" w:type="dxa"/>
              <w:right w:w="100" w:type="dxa"/>
            </w:tcMar>
          </w:tcPr>
          <w:p w14:paraId="36CECD1F" w14:textId="77777777" w:rsidR="00B82ACC" w:rsidRDefault="001830A8">
            <w:pPr>
              <w:widowControl w:val="0"/>
              <w:spacing w:line="278" w:lineRule="auto"/>
              <w:ind w:left="112"/>
              <w:rPr>
                <w:b/>
                <w:u w:val="single"/>
              </w:rPr>
            </w:pPr>
            <w:r>
              <w:rPr>
                <w:b/>
              </w:rPr>
              <w:t>Stage B: Authorization of Mitigation Activity</w:t>
            </w:r>
          </w:p>
        </w:tc>
        <w:tc>
          <w:tcPr>
            <w:tcW w:w="6780" w:type="dxa"/>
            <w:tcMar>
              <w:top w:w="100" w:type="dxa"/>
              <w:left w:w="100" w:type="dxa"/>
              <w:bottom w:w="100" w:type="dxa"/>
              <w:right w:w="100" w:type="dxa"/>
            </w:tcMar>
          </w:tcPr>
          <w:p w14:paraId="369FFEFF" w14:textId="77777777" w:rsidR="00B82ACC" w:rsidRDefault="001830A8">
            <w:pPr>
              <w:widowControl w:val="0"/>
              <w:spacing w:before="107" w:line="240" w:lineRule="auto"/>
              <w:ind w:left="115" w:right="86"/>
              <w:jc w:val="both"/>
            </w:pPr>
            <w:r>
              <w:t>As the project concept is further developed, applicants must submit a dully filled Authorisation Application Form (in English) to the Joint Committee. At this stage, project applicants shall submit Mitigation Activity Design Document (MADD) on the intended project. The MADD should contain the detailed implementation plan (e.g., how the baseline emissions will be determined, and how the project will address permanence and leakage concerns).</w:t>
            </w:r>
          </w:p>
          <w:p w14:paraId="33064338" w14:textId="77777777" w:rsidR="00B82ACC" w:rsidRDefault="001830A8">
            <w:pPr>
              <w:widowControl w:val="0"/>
              <w:spacing w:before="107" w:line="240" w:lineRule="auto"/>
              <w:ind w:left="115" w:right="86"/>
              <w:jc w:val="both"/>
              <w:rPr>
                <w:b/>
                <w:u w:val="single"/>
              </w:rPr>
            </w:pPr>
            <w:r>
              <w:t>At this stage, applicants must submit a validation report from a third-party auditor, determining that the project design meets all the rules and requirements of the intended methodology and carbon crediting programme. After receiving Letters of Authorisation from both Singapore and Bhutan, the project should proceed to be registered under the intended carbon crediting programme and proceed to implementation.</w:t>
            </w:r>
          </w:p>
        </w:tc>
      </w:tr>
      <w:tr w:rsidR="00B82ACC" w14:paraId="2A13C878" w14:textId="77777777">
        <w:tc>
          <w:tcPr>
            <w:tcW w:w="2430" w:type="dxa"/>
            <w:tcMar>
              <w:top w:w="100" w:type="dxa"/>
              <w:left w:w="100" w:type="dxa"/>
              <w:bottom w:w="100" w:type="dxa"/>
              <w:right w:w="100" w:type="dxa"/>
            </w:tcMar>
          </w:tcPr>
          <w:p w14:paraId="45FC36C3" w14:textId="77777777" w:rsidR="00B82ACC" w:rsidRDefault="001830A8">
            <w:pPr>
              <w:widowControl w:val="0"/>
              <w:spacing w:before="37" w:line="240" w:lineRule="auto"/>
              <w:rPr>
                <w:b/>
                <w:u w:val="single"/>
              </w:rPr>
            </w:pPr>
            <w:r>
              <w:rPr>
                <w:b/>
              </w:rPr>
              <w:t xml:space="preserve">Stage C: ITMO Issuance Authorization </w:t>
            </w:r>
          </w:p>
        </w:tc>
        <w:tc>
          <w:tcPr>
            <w:tcW w:w="6780" w:type="dxa"/>
            <w:tcMar>
              <w:top w:w="100" w:type="dxa"/>
              <w:left w:w="100" w:type="dxa"/>
              <w:bottom w:w="100" w:type="dxa"/>
              <w:right w:w="100" w:type="dxa"/>
            </w:tcMar>
          </w:tcPr>
          <w:p w14:paraId="77CDB7DE" w14:textId="77777777" w:rsidR="00B82ACC" w:rsidRDefault="001830A8">
            <w:pPr>
              <w:widowControl w:val="0"/>
              <w:spacing w:before="107" w:line="240" w:lineRule="auto"/>
              <w:ind w:left="90" w:right="86"/>
              <w:jc w:val="both"/>
              <w:rPr>
                <w:b/>
                <w:u w:val="single"/>
              </w:rPr>
            </w:pPr>
            <w:r>
              <w:t>As the authorised project is implemented and a third-party auditor has verified the emission reductions and removals, the carbon crediting programme will issue carbon credits to the project. Applicants are to submit a Proof of Issuance from the carbon crediting programme accompanied by the verification report from the third-party auditor to be considered for corresponding adjustments to be applied to the issued carbon credits in accordance with Article 6 of the Paris Agreement.</w:t>
            </w:r>
          </w:p>
        </w:tc>
      </w:tr>
    </w:tbl>
    <w:p w14:paraId="53FE7125" w14:textId="77777777" w:rsidR="00B82ACC" w:rsidRDefault="00B82ACC">
      <w:pPr>
        <w:widowControl w:val="0"/>
        <w:spacing w:line="240" w:lineRule="auto"/>
      </w:pPr>
    </w:p>
    <w:p w14:paraId="63477234" w14:textId="77777777" w:rsidR="00B82ACC" w:rsidRDefault="001830A8">
      <w:pPr>
        <w:widowControl w:val="0"/>
        <w:spacing w:before="81" w:line="240" w:lineRule="auto"/>
        <w:rPr>
          <w:b/>
          <w:u w:val="single"/>
        </w:rPr>
      </w:pPr>
      <w:r>
        <w:rPr>
          <w:b/>
          <w:u w:val="single"/>
        </w:rPr>
        <w:t>Annex C:</w:t>
      </w:r>
    </w:p>
    <w:p w14:paraId="46F525F5" w14:textId="77777777" w:rsidR="00B82ACC" w:rsidRDefault="00B82ACC">
      <w:pPr>
        <w:widowControl w:val="0"/>
        <w:spacing w:before="81" w:line="240" w:lineRule="auto"/>
        <w:rPr>
          <w:b/>
          <w:u w:val="single"/>
        </w:rPr>
      </w:pPr>
    </w:p>
    <w:p w14:paraId="45BE0584" w14:textId="77777777" w:rsidR="00B82ACC" w:rsidRDefault="001830A8">
      <w:pPr>
        <w:widowControl w:val="0"/>
        <w:spacing w:before="81" w:line="240" w:lineRule="auto"/>
        <w:rPr>
          <w:b/>
          <w:color w:val="FF0000"/>
        </w:rPr>
      </w:pPr>
      <w:r>
        <w:rPr>
          <w:b/>
        </w:rPr>
        <w:t xml:space="preserve">Eligibility List under the Singapore-Bhutan Implementation Agreement </w:t>
      </w:r>
    </w:p>
    <w:p w14:paraId="25E666CE" w14:textId="77777777" w:rsidR="00B82ACC" w:rsidRDefault="001830A8">
      <w:pPr>
        <w:widowControl w:val="0"/>
        <w:spacing w:before="223" w:line="259" w:lineRule="auto"/>
        <w:jc w:val="both"/>
      </w:pPr>
      <w:r>
        <w:t xml:space="preserve">The eligibility list of carbon crediting programmes and methodologies in Table 1 conforms to the </w:t>
      </w:r>
      <w:r>
        <w:lastRenderedPageBreak/>
        <w:t>eligibility criteria and meets the requirements of Bhutan and Singapore. However, it is important to note that the criteria for which a programme or methodology is eligible may be different for each host country, as host countries also have their own criteria.</w:t>
      </w:r>
    </w:p>
    <w:p w14:paraId="1302BC1D" w14:textId="77777777" w:rsidR="00B82ACC" w:rsidRDefault="00B82ACC">
      <w:pPr>
        <w:widowControl w:val="0"/>
        <w:spacing w:after="21" w:line="240" w:lineRule="auto"/>
      </w:pPr>
    </w:p>
    <w:p w14:paraId="6AF75EC1" w14:textId="77777777" w:rsidR="00B82ACC" w:rsidRDefault="001830A8" w:rsidP="0016204B">
      <w:pPr>
        <w:widowControl w:val="0"/>
        <w:spacing w:after="240" w:line="240" w:lineRule="auto"/>
        <w:rPr>
          <w:b/>
          <w:u w:val="single"/>
        </w:rPr>
      </w:pPr>
      <w:r>
        <w:t>Table 1: Eligibility List under the Singapore - Bhutan Implementation Agreement</w:t>
      </w:r>
    </w:p>
    <w:tbl>
      <w:tblPr>
        <w:tblpPr w:leftFromText="180" w:rightFromText="180" w:vertAnchor="text" w:tblpXSpec="right" w:tblpY="1"/>
        <w:tblOverlap w:val="neve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5220"/>
      </w:tblGrid>
      <w:tr w:rsidR="00E032DB" w:rsidRPr="00D60088" w14:paraId="01117DE9" w14:textId="77777777" w:rsidTr="00A75483">
        <w:trPr>
          <w:trHeight w:val="345"/>
        </w:trPr>
        <w:tc>
          <w:tcPr>
            <w:tcW w:w="3777" w:type="dxa"/>
            <w:tcBorders>
              <w:top w:val="single" w:sz="6" w:space="0" w:color="auto"/>
              <w:left w:val="single" w:sz="6" w:space="0" w:color="auto"/>
              <w:bottom w:val="single" w:sz="6" w:space="0" w:color="auto"/>
              <w:right w:val="single" w:sz="6" w:space="0" w:color="auto"/>
            </w:tcBorders>
            <w:shd w:val="clear" w:color="auto" w:fill="E1EBF7" w:themeFill="text2" w:themeFillTint="1A"/>
            <w:hideMark/>
          </w:tcPr>
          <w:p w14:paraId="2EFAF120" w14:textId="77777777" w:rsidR="00E032DB" w:rsidRPr="00471C0E" w:rsidRDefault="00E032DB" w:rsidP="00A75483">
            <w:pPr>
              <w:spacing w:line="240" w:lineRule="auto"/>
              <w:ind w:left="30"/>
              <w:jc w:val="both"/>
              <w:textAlignment w:val="baseline"/>
              <w:rPr>
                <w:rFonts w:eastAsia="Times New Roman"/>
                <w:b/>
                <w:bCs/>
                <w:sz w:val="24"/>
                <w:szCs w:val="24"/>
              </w:rPr>
            </w:pPr>
            <w:r w:rsidRPr="00471C0E">
              <w:rPr>
                <w:rFonts w:eastAsia="Times New Roman"/>
                <w:b/>
                <w:bCs/>
                <w:sz w:val="24"/>
                <w:szCs w:val="24"/>
              </w:rPr>
              <w:t>Carbon crediting programmes</w:t>
            </w:r>
          </w:p>
        </w:tc>
        <w:tc>
          <w:tcPr>
            <w:tcW w:w="5215" w:type="dxa"/>
            <w:tcBorders>
              <w:top w:val="single" w:sz="6" w:space="0" w:color="auto"/>
              <w:left w:val="single" w:sz="6" w:space="0" w:color="auto"/>
              <w:bottom w:val="single" w:sz="6" w:space="0" w:color="auto"/>
              <w:right w:val="single" w:sz="6" w:space="0" w:color="auto"/>
            </w:tcBorders>
            <w:shd w:val="clear" w:color="auto" w:fill="E1EBF7" w:themeFill="text2" w:themeFillTint="1A"/>
            <w:hideMark/>
          </w:tcPr>
          <w:p w14:paraId="6C011863" w14:textId="77777777" w:rsidR="00E032DB" w:rsidRPr="00471C0E" w:rsidRDefault="00E032DB" w:rsidP="00A75483">
            <w:pPr>
              <w:spacing w:line="240" w:lineRule="auto"/>
              <w:ind w:left="27"/>
              <w:jc w:val="both"/>
              <w:textAlignment w:val="baseline"/>
              <w:rPr>
                <w:rFonts w:eastAsia="Times New Roman"/>
                <w:b/>
                <w:bCs/>
                <w:sz w:val="24"/>
                <w:szCs w:val="24"/>
              </w:rPr>
            </w:pPr>
            <w:r w:rsidRPr="00471C0E">
              <w:rPr>
                <w:rFonts w:eastAsia="Times New Roman"/>
                <w:b/>
                <w:bCs/>
                <w:sz w:val="24"/>
                <w:szCs w:val="24"/>
              </w:rPr>
              <w:t xml:space="preserve">Methodologies </w:t>
            </w:r>
          </w:p>
        </w:tc>
      </w:tr>
      <w:tr w:rsidR="00E032DB" w:rsidRPr="00C06597" w14:paraId="5CB7FA49" w14:textId="77777777" w:rsidTr="00A75483">
        <w:trPr>
          <w:trHeight w:val="300"/>
        </w:trPr>
        <w:tc>
          <w:tcPr>
            <w:tcW w:w="3777" w:type="dxa"/>
            <w:tcBorders>
              <w:top w:val="single" w:sz="6" w:space="0" w:color="auto"/>
              <w:left w:val="single" w:sz="6" w:space="0" w:color="auto"/>
              <w:bottom w:val="single" w:sz="6" w:space="0" w:color="auto"/>
              <w:right w:val="single" w:sz="6" w:space="0" w:color="auto"/>
            </w:tcBorders>
            <w:hideMark/>
          </w:tcPr>
          <w:p w14:paraId="17181582" w14:textId="77777777" w:rsidR="00E032DB" w:rsidRPr="00471C0E" w:rsidRDefault="00E032DB" w:rsidP="00A75483">
            <w:pPr>
              <w:spacing w:line="240" w:lineRule="auto"/>
              <w:ind w:left="30"/>
              <w:jc w:val="both"/>
              <w:textAlignment w:val="baseline"/>
              <w:rPr>
                <w:rFonts w:eastAsia="Times New Roman"/>
                <w:sz w:val="24"/>
                <w:szCs w:val="24"/>
              </w:rPr>
            </w:pPr>
            <w:r w:rsidRPr="18895EFF">
              <w:rPr>
                <w:rFonts w:eastAsia="Times New Roman"/>
                <w:sz w:val="24"/>
                <w:szCs w:val="24"/>
              </w:rPr>
              <w:t>Gold Standard for the Global Goals (GS4GG)</w:t>
            </w:r>
          </w:p>
        </w:tc>
        <w:tc>
          <w:tcPr>
            <w:tcW w:w="5215" w:type="dxa"/>
            <w:tcBorders>
              <w:top w:val="single" w:sz="6" w:space="0" w:color="auto"/>
              <w:left w:val="single" w:sz="6" w:space="0" w:color="auto"/>
              <w:bottom w:val="single" w:sz="6" w:space="0" w:color="auto"/>
              <w:right w:val="single" w:sz="6" w:space="0" w:color="auto"/>
            </w:tcBorders>
            <w:hideMark/>
          </w:tcPr>
          <w:p w14:paraId="11FDE91B" w14:textId="77777777" w:rsidR="00E032DB" w:rsidRPr="00471C0E" w:rsidRDefault="00E032DB" w:rsidP="00A75483">
            <w:pPr>
              <w:spacing w:line="240" w:lineRule="auto"/>
              <w:ind w:left="27"/>
              <w:jc w:val="both"/>
              <w:textAlignment w:val="baseline"/>
              <w:rPr>
                <w:rFonts w:eastAsia="Times New Roman"/>
                <w:sz w:val="24"/>
                <w:szCs w:val="24"/>
              </w:rPr>
            </w:pPr>
            <w:r w:rsidRPr="18895EFF">
              <w:rPr>
                <w:rFonts w:eastAsia="Times New Roman"/>
                <w:sz w:val="24"/>
                <w:szCs w:val="24"/>
              </w:rPr>
              <w:t>All active methodologies published before 31 March 2023 except those under the “Land Use and Forestry &amp; Agriculture” category of GS4GG.</w:t>
            </w:r>
          </w:p>
          <w:p w14:paraId="54E47DB9" w14:textId="77777777" w:rsidR="00E032DB" w:rsidRPr="00471C0E" w:rsidRDefault="00E032DB" w:rsidP="00A75483">
            <w:pPr>
              <w:spacing w:line="240" w:lineRule="auto"/>
              <w:ind w:left="27"/>
              <w:jc w:val="both"/>
              <w:textAlignment w:val="baseline"/>
              <w:rPr>
                <w:rFonts w:eastAsia="Times New Roman"/>
                <w:sz w:val="24"/>
                <w:szCs w:val="24"/>
              </w:rPr>
            </w:pPr>
          </w:p>
        </w:tc>
      </w:tr>
      <w:tr w:rsidR="00E032DB" w:rsidRPr="00D60088" w14:paraId="484B10D0" w14:textId="77777777" w:rsidTr="00A75483">
        <w:trPr>
          <w:trHeight w:val="300"/>
        </w:trPr>
        <w:tc>
          <w:tcPr>
            <w:tcW w:w="3777" w:type="dxa"/>
            <w:tcBorders>
              <w:top w:val="single" w:sz="6" w:space="0" w:color="auto"/>
              <w:left w:val="single" w:sz="6" w:space="0" w:color="auto"/>
              <w:bottom w:val="single" w:sz="6" w:space="0" w:color="auto"/>
              <w:right w:val="single" w:sz="6" w:space="0" w:color="auto"/>
            </w:tcBorders>
            <w:hideMark/>
          </w:tcPr>
          <w:p w14:paraId="19099D09" w14:textId="77777777" w:rsidR="00E032DB" w:rsidRPr="00471C0E" w:rsidRDefault="00E032DB" w:rsidP="00A75483">
            <w:pPr>
              <w:spacing w:line="240" w:lineRule="auto"/>
              <w:ind w:left="30"/>
              <w:jc w:val="both"/>
              <w:textAlignment w:val="baseline"/>
              <w:rPr>
                <w:rFonts w:eastAsia="Times New Roman"/>
                <w:sz w:val="24"/>
                <w:szCs w:val="24"/>
              </w:rPr>
            </w:pPr>
            <w:r w:rsidRPr="18895EFF">
              <w:rPr>
                <w:rFonts w:eastAsia="Times New Roman"/>
                <w:sz w:val="24"/>
                <w:szCs w:val="24"/>
              </w:rPr>
              <w:t>Verified Carbon Standard (VCS)</w:t>
            </w:r>
          </w:p>
        </w:tc>
        <w:tc>
          <w:tcPr>
            <w:tcW w:w="5215" w:type="dxa"/>
            <w:tcBorders>
              <w:top w:val="single" w:sz="6" w:space="0" w:color="auto"/>
              <w:left w:val="single" w:sz="6" w:space="0" w:color="auto"/>
              <w:bottom w:val="single" w:sz="6" w:space="0" w:color="auto"/>
              <w:right w:val="single" w:sz="6" w:space="0" w:color="auto"/>
            </w:tcBorders>
            <w:hideMark/>
          </w:tcPr>
          <w:p w14:paraId="20DA25EF" w14:textId="77777777" w:rsidR="00E032DB" w:rsidRPr="00471C0E" w:rsidRDefault="00E032DB" w:rsidP="00A75483">
            <w:pPr>
              <w:spacing w:line="240" w:lineRule="auto"/>
              <w:ind w:left="27"/>
              <w:jc w:val="both"/>
              <w:textAlignment w:val="baseline"/>
              <w:rPr>
                <w:rFonts w:eastAsia="Times New Roman"/>
                <w:sz w:val="24"/>
                <w:szCs w:val="24"/>
              </w:rPr>
            </w:pPr>
            <w:r w:rsidRPr="18895EFF">
              <w:rPr>
                <w:rFonts w:eastAsia="Times New Roman"/>
                <w:sz w:val="24"/>
                <w:szCs w:val="24"/>
              </w:rPr>
              <w:t>All active methodologies published before 31 March 2023, except those that are under the “Sectoral Scope 14” category of VCS and are not an allowable exception listed in the paragraph below.</w:t>
            </w:r>
          </w:p>
          <w:p w14:paraId="6BEDF61F" w14:textId="77777777" w:rsidR="00E032DB" w:rsidRPr="00471C0E" w:rsidRDefault="00E032DB" w:rsidP="00A75483">
            <w:pPr>
              <w:spacing w:line="240" w:lineRule="auto"/>
              <w:ind w:left="27"/>
              <w:jc w:val="both"/>
              <w:textAlignment w:val="baseline"/>
              <w:rPr>
                <w:rFonts w:eastAsia="Times New Roman"/>
                <w:sz w:val="24"/>
                <w:szCs w:val="24"/>
              </w:rPr>
            </w:pPr>
          </w:p>
          <w:p w14:paraId="2307FB39" w14:textId="77777777" w:rsidR="00E032DB" w:rsidRPr="00471C0E" w:rsidRDefault="00E032DB" w:rsidP="00A75483">
            <w:pPr>
              <w:spacing w:line="240" w:lineRule="auto"/>
              <w:ind w:left="27"/>
              <w:jc w:val="both"/>
              <w:textAlignment w:val="baseline"/>
              <w:rPr>
                <w:rFonts w:eastAsia="Times New Roman"/>
                <w:sz w:val="24"/>
                <w:szCs w:val="24"/>
              </w:rPr>
            </w:pPr>
            <w:r w:rsidRPr="18895EFF">
              <w:rPr>
                <w:rFonts w:eastAsia="Times New Roman"/>
                <w:sz w:val="24"/>
                <w:szCs w:val="24"/>
              </w:rPr>
              <w:t xml:space="preserve">Allowable exceptions from “Sectoral Scope 14” category of VCS are as follows: </w:t>
            </w:r>
          </w:p>
          <w:p w14:paraId="043D8C35"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 xml:space="preserve">Scenario 2a and 3 of VCS Jurisdictional and Nested REDD+ (JNR) framework </w:t>
            </w:r>
          </w:p>
          <w:p w14:paraId="48388034"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VM0012 Improved Forest Management in Temperate and Boreal Forests (LtPF)</w:t>
            </w:r>
          </w:p>
          <w:p w14:paraId="3A9B3883"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VM0032 Methodology for the Adoption of Sustainable Grasslands through Adjustment of Fire and Grazing</w:t>
            </w:r>
          </w:p>
          <w:p w14:paraId="6FD3C976"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VM0033 Methodology for Tidal Wetland and Seagrass Restoration</w:t>
            </w:r>
          </w:p>
          <w:p w14:paraId="2AE4A5D6"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VM0036 Methodology for Rewetting Drained Temperate Peatlands</w:t>
            </w:r>
          </w:p>
          <w:p w14:paraId="20BAC0DC"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 xml:space="preserve">VM0041 Methodology for the Reduction of Enteric Methane Emissions from Ruminants through the Use of Feed Ingredients </w:t>
            </w:r>
          </w:p>
          <w:p w14:paraId="378581A7"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VM0042 Improved Agricultural Land Management</w:t>
            </w:r>
          </w:p>
          <w:p w14:paraId="17CBB352" w14:textId="77777777" w:rsidR="00E032DB" w:rsidRPr="00471C0E" w:rsidRDefault="00E032DB" w:rsidP="00A75483">
            <w:pPr>
              <w:spacing w:line="240" w:lineRule="auto"/>
              <w:ind w:left="27"/>
              <w:jc w:val="both"/>
              <w:textAlignment w:val="baseline"/>
              <w:rPr>
                <w:rFonts w:eastAsia="Times New Roman"/>
                <w:sz w:val="24"/>
                <w:szCs w:val="24"/>
              </w:rPr>
            </w:pPr>
          </w:p>
          <w:p w14:paraId="7CAB077C" w14:textId="77777777" w:rsidR="00E032DB" w:rsidRDefault="00E032DB" w:rsidP="00A75483">
            <w:pPr>
              <w:spacing w:line="240" w:lineRule="auto"/>
              <w:ind w:left="27"/>
              <w:jc w:val="both"/>
              <w:textAlignment w:val="baseline"/>
              <w:rPr>
                <w:rFonts w:eastAsia="Times New Roman"/>
                <w:sz w:val="24"/>
                <w:szCs w:val="24"/>
              </w:rPr>
            </w:pPr>
            <w:r w:rsidRPr="18895EFF">
              <w:rPr>
                <w:rFonts w:eastAsia="Times New Roman"/>
                <w:sz w:val="24"/>
                <w:szCs w:val="24"/>
              </w:rPr>
              <w:t xml:space="preserve">Where any VCS methodology is used, the Project Participant will be required to demonstrate the sustainable development contributions or co-benefits of the relevant Mitigation Activity by submitting to the Joint Committee its verification report under the Climate, Community and </w:t>
            </w:r>
            <w:r w:rsidRPr="18895EFF">
              <w:rPr>
                <w:rFonts w:eastAsia="Times New Roman"/>
                <w:sz w:val="24"/>
                <w:szCs w:val="24"/>
              </w:rPr>
              <w:lastRenderedPageBreak/>
              <w:t>Biodiversity Standards (CCB Standards), the Sustainable Development Verified Impact Standard (SD VISta) or another standard recognised by VCS for such purpose.</w:t>
            </w:r>
          </w:p>
        </w:tc>
      </w:tr>
      <w:tr w:rsidR="00E032DB" w:rsidRPr="00D60088" w14:paraId="35827C24" w14:textId="77777777" w:rsidTr="00A75483">
        <w:trPr>
          <w:trHeight w:val="300"/>
        </w:trPr>
        <w:tc>
          <w:tcPr>
            <w:tcW w:w="3777" w:type="dxa"/>
            <w:tcBorders>
              <w:top w:val="single" w:sz="6" w:space="0" w:color="auto"/>
              <w:left w:val="single" w:sz="6" w:space="0" w:color="auto"/>
              <w:bottom w:val="single" w:sz="6" w:space="0" w:color="auto"/>
              <w:right w:val="single" w:sz="6" w:space="0" w:color="auto"/>
            </w:tcBorders>
            <w:hideMark/>
          </w:tcPr>
          <w:p w14:paraId="02D0E3A4" w14:textId="77777777" w:rsidR="00E032DB" w:rsidRPr="00471C0E" w:rsidRDefault="00E032DB" w:rsidP="00A75483">
            <w:pPr>
              <w:spacing w:line="240" w:lineRule="auto"/>
              <w:ind w:left="30"/>
              <w:jc w:val="both"/>
              <w:textAlignment w:val="baseline"/>
              <w:rPr>
                <w:rFonts w:eastAsia="Times New Roman"/>
                <w:sz w:val="24"/>
                <w:szCs w:val="24"/>
              </w:rPr>
            </w:pPr>
            <w:r w:rsidRPr="18895EFF">
              <w:rPr>
                <w:rFonts w:eastAsia="Times New Roman"/>
                <w:sz w:val="24"/>
                <w:szCs w:val="24"/>
              </w:rPr>
              <w:lastRenderedPageBreak/>
              <w:t>American Carbon Registry (ACR)</w:t>
            </w:r>
          </w:p>
        </w:tc>
        <w:tc>
          <w:tcPr>
            <w:tcW w:w="5215" w:type="dxa"/>
            <w:tcBorders>
              <w:top w:val="single" w:sz="6" w:space="0" w:color="auto"/>
              <w:left w:val="single" w:sz="6" w:space="0" w:color="auto"/>
              <w:bottom w:val="single" w:sz="6" w:space="0" w:color="auto"/>
              <w:right w:val="single" w:sz="6" w:space="0" w:color="auto"/>
            </w:tcBorders>
            <w:hideMark/>
          </w:tcPr>
          <w:p w14:paraId="22B9C985" w14:textId="77777777" w:rsidR="00E032DB" w:rsidRDefault="00E032DB" w:rsidP="00A75483">
            <w:pPr>
              <w:spacing w:line="240" w:lineRule="auto"/>
              <w:ind w:left="27"/>
              <w:jc w:val="both"/>
              <w:textAlignment w:val="baseline"/>
              <w:rPr>
                <w:rFonts w:eastAsia="Times New Roman"/>
                <w:sz w:val="24"/>
                <w:szCs w:val="24"/>
              </w:rPr>
            </w:pPr>
            <w:r w:rsidRPr="18895EFF">
              <w:rPr>
                <w:rFonts w:eastAsia="Times New Roman"/>
                <w:sz w:val="24"/>
                <w:szCs w:val="24"/>
              </w:rPr>
              <w:t>All active methodologies published before 31 March 2023, except methodologies under the “Sectoral Scope 3 (Land Use, Land Use Change and Forestry)” category of ACR.</w:t>
            </w:r>
          </w:p>
          <w:p w14:paraId="4C74BCF9" w14:textId="77777777" w:rsidR="00E032DB" w:rsidRPr="00471C0E" w:rsidRDefault="00E032DB" w:rsidP="00A75483">
            <w:pPr>
              <w:spacing w:line="240" w:lineRule="auto"/>
              <w:ind w:left="27"/>
              <w:jc w:val="both"/>
              <w:textAlignment w:val="baseline"/>
              <w:rPr>
                <w:rFonts w:eastAsia="Times New Roman"/>
                <w:sz w:val="24"/>
                <w:szCs w:val="24"/>
              </w:rPr>
            </w:pPr>
          </w:p>
        </w:tc>
      </w:tr>
      <w:tr w:rsidR="00E032DB" w:rsidRPr="00337BC6" w14:paraId="6FB938EE" w14:textId="77777777" w:rsidTr="00A75483">
        <w:trPr>
          <w:trHeight w:val="300"/>
        </w:trPr>
        <w:tc>
          <w:tcPr>
            <w:tcW w:w="3777" w:type="dxa"/>
            <w:tcBorders>
              <w:top w:val="single" w:sz="6" w:space="0" w:color="auto"/>
              <w:left w:val="single" w:sz="6" w:space="0" w:color="auto"/>
              <w:bottom w:val="single" w:sz="6" w:space="0" w:color="auto"/>
              <w:right w:val="single" w:sz="6" w:space="0" w:color="auto"/>
            </w:tcBorders>
            <w:hideMark/>
          </w:tcPr>
          <w:p w14:paraId="69E14931" w14:textId="77777777" w:rsidR="00E032DB" w:rsidRPr="00471C0E" w:rsidRDefault="00E032DB" w:rsidP="00A75483">
            <w:pPr>
              <w:spacing w:line="240" w:lineRule="auto"/>
              <w:ind w:left="30"/>
              <w:jc w:val="both"/>
              <w:textAlignment w:val="baseline"/>
              <w:rPr>
                <w:rFonts w:eastAsia="Times New Roman"/>
                <w:sz w:val="24"/>
                <w:szCs w:val="24"/>
              </w:rPr>
            </w:pPr>
            <w:r w:rsidRPr="18895EFF">
              <w:rPr>
                <w:rFonts w:eastAsia="Times New Roman"/>
                <w:sz w:val="24"/>
                <w:szCs w:val="24"/>
              </w:rPr>
              <w:t>Global Carbon Council (GCC)</w:t>
            </w:r>
          </w:p>
        </w:tc>
        <w:tc>
          <w:tcPr>
            <w:tcW w:w="5215" w:type="dxa"/>
            <w:tcBorders>
              <w:top w:val="single" w:sz="6" w:space="0" w:color="auto"/>
              <w:left w:val="single" w:sz="6" w:space="0" w:color="auto"/>
              <w:bottom w:val="single" w:sz="6" w:space="0" w:color="auto"/>
              <w:right w:val="single" w:sz="6" w:space="0" w:color="auto"/>
            </w:tcBorders>
            <w:hideMark/>
          </w:tcPr>
          <w:p w14:paraId="02C1CE06" w14:textId="77777777" w:rsidR="00E032DB" w:rsidRPr="00471C0E" w:rsidRDefault="00E032DB" w:rsidP="00A75483">
            <w:pPr>
              <w:ind w:left="27"/>
              <w:textAlignment w:val="baseline"/>
              <w:rPr>
                <w:rFonts w:eastAsia="Times New Roman"/>
                <w:sz w:val="24"/>
                <w:szCs w:val="24"/>
              </w:rPr>
            </w:pPr>
            <w:r w:rsidRPr="18895EFF">
              <w:rPr>
                <w:rFonts w:eastAsia="Times New Roman"/>
                <w:sz w:val="24"/>
                <w:szCs w:val="24"/>
              </w:rPr>
              <w:t>All active methodologies published before 31 March 2023, except the following project types or methodologies:</w:t>
            </w:r>
          </w:p>
          <w:p w14:paraId="60095AE6"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Nuclear energy</w:t>
            </w:r>
          </w:p>
          <w:p w14:paraId="61F11587"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HFC-23 abatement</w:t>
            </w:r>
          </w:p>
          <w:p w14:paraId="78D3C311"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Reducing Emissions from Deforestation and Degradation (REDD)</w:t>
            </w:r>
          </w:p>
          <w:p w14:paraId="6EEF5A02" w14:textId="77777777" w:rsidR="00E032DB" w:rsidRPr="00471C0E"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Afforestation &amp; Reforestation (A&amp;R)</w:t>
            </w:r>
          </w:p>
          <w:p w14:paraId="6F5D0239" w14:textId="77777777" w:rsidR="00E032DB" w:rsidRDefault="00E032DB" w:rsidP="00A75483">
            <w:pPr>
              <w:numPr>
                <w:ilvl w:val="0"/>
                <w:numId w:val="4"/>
              </w:numPr>
              <w:spacing w:line="259" w:lineRule="auto"/>
              <w:jc w:val="both"/>
              <w:rPr>
                <w:rFonts w:eastAsia="Times New Roman"/>
                <w:sz w:val="24"/>
                <w:szCs w:val="24"/>
              </w:rPr>
            </w:pPr>
            <w:r w:rsidRPr="18895EFF">
              <w:rPr>
                <w:rFonts w:eastAsia="Times New Roman"/>
                <w:sz w:val="24"/>
                <w:szCs w:val="24"/>
              </w:rPr>
              <w:t>Carbon Capture &amp; Storage (CCS)</w:t>
            </w:r>
          </w:p>
          <w:p w14:paraId="5E2B3C84" w14:textId="77777777" w:rsidR="00E032DB" w:rsidRPr="00471C0E" w:rsidRDefault="00E032DB" w:rsidP="00A75483">
            <w:pPr>
              <w:ind w:left="720"/>
              <w:jc w:val="both"/>
              <w:rPr>
                <w:rFonts w:eastAsia="Times New Roman"/>
                <w:sz w:val="24"/>
                <w:szCs w:val="24"/>
              </w:rPr>
            </w:pPr>
          </w:p>
          <w:p w14:paraId="3BBD7EE0" w14:textId="77777777" w:rsidR="00E032DB" w:rsidRPr="00471C0E" w:rsidRDefault="00E032DB" w:rsidP="00A75483">
            <w:pPr>
              <w:spacing w:line="240" w:lineRule="auto"/>
              <w:ind w:left="27"/>
              <w:jc w:val="both"/>
              <w:textAlignment w:val="baseline"/>
              <w:rPr>
                <w:rFonts w:eastAsia="Times New Roman"/>
                <w:sz w:val="24"/>
                <w:szCs w:val="24"/>
              </w:rPr>
            </w:pPr>
          </w:p>
        </w:tc>
      </w:tr>
      <w:tr w:rsidR="00E032DB" w:rsidRPr="00337BC6" w14:paraId="2B4A4E6E" w14:textId="77777777" w:rsidTr="00A75483">
        <w:trPr>
          <w:trHeight w:val="300"/>
        </w:trPr>
        <w:tc>
          <w:tcPr>
            <w:tcW w:w="3777" w:type="dxa"/>
            <w:tcBorders>
              <w:top w:val="single" w:sz="6" w:space="0" w:color="auto"/>
              <w:left w:val="single" w:sz="6" w:space="0" w:color="auto"/>
              <w:bottom w:val="single" w:sz="6" w:space="0" w:color="auto"/>
              <w:right w:val="single" w:sz="6" w:space="0" w:color="auto"/>
            </w:tcBorders>
            <w:hideMark/>
          </w:tcPr>
          <w:p w14:paraId="2FC9EF55" w14:textId="77777777" w:rsidR="00E032DB" w:rsidRPr="00471C0E" w:rsidRDefault="00E032DB" w:rsidP="00A75483">
            <w:pPr>
              <w:spacing w:line="240" w:lineRule="auto"/>
              <w:ind w:left="30"/>
              <w:jc w:val="both"/>
              <w:textAlignment w:val="baseline"/>
              <w:rPr>
                <w:rFonts w:eastAsia="Times New Roman"/>
                <w:sz w:val="24"/>
                <w:szCs w:val="24"/>
              </w:rPr>
            </w:pPr>
            <w:r w:rsidRPr="18895EFF">
              <w:rPr>
                <w:rFonts w:eastAsia="Times New Roman"/>
                <w:sz w:val="24"/>
                <w:szCs w:val="24"/>
              </w:rPr>
              <w:t>Architecture for REDD+ Transactions (ART)</w:t>
            </w:r>
          </w:p>
        </w:tc>
        <w:tc>
          <w:tcPr>
            <w:tcW w:w="5215" w:type="dxa"/>
            <w:tcBorders>
              <w:top w:val="single" w:sz="6" w:space="0" w:color="auto"/>
              <w:left w:val="single" w:sz="6" w:space="0" w:color="auto"/>
              <w:bottom w:val="single" w:sz="6" w:space="0" w:color="auto"/>
              <w:right w:val="single" w:sz="6" w:space="0" w:color="auto"/>
            </w:tcBorders>
            <w:hideMark/>
          </w:tcPr>
          <w:p w14:paraId="70EF66DE" w14:textId="77777777" w:rsidR="00E032DB" w:rsidRPr="00471C0E" w:rsidRDefault="00E032DB" w:rsidP="00A75483">
            <w:pPr>
              <w:ind w:left="27"/>
              <w:textAlignment w:val="baseline"/>
              <w:rPr>
                <w:rFonts w:eastAsia="Times New Roman"/>
                <w:sz w:val="24"/>
                <w:szCs w:val="24"/>
              </w:rPr>
            </w:pPr>
            <w:r w:rsidRPr="18895EFF">
              <w:rPr>
                <w:rFonts w:eastAsia="Times New Roman"/>
                <w:sz w:val="24"/>
                <w:szCs w:val="24"/>
              </w:rPr>
              <w:t>All active methodologies published before 31 March 2023.</w:t>
            </w:r>
          </w:p>
        </w:tc>
      </w:tr>
    </w:tbl>
    <w:p w14:paraId="5CAFAE7F" w14:textId="77777777" w:rsidR="00B82ACC" w:rsidRDefault="00A75483">
      <w:pPr>
        <w:spacing w:after="160"/>
      </w:pPr>
      <w:r>
        <w:br w:type="textWrapping" w:clear="all"/>
      </w:r>
    </w:p>
    <w:sectPr w:rsidR="00B82ACC">
      <w:headerReference w:type="even" r:id="rId11"/>
      <w:headerReference w:type="default" r:id="rId12"/>
      <w:footerReference w:type="even" r:id="rId13"/>
      <w:footerReference w:type="default" r:id="rId14"/>
      <w:headerReference w:type="first" r:id="rId15"/>
      <w:pgSz w:w="11906" w:h="16838"/>
      <w:pgMar w:top="1300" w:right="1417" w:bottom="280" w:left="1275"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64D3" w14:textId="77777777" w:rsidR="00A04868" w:rsidRDefault="00A04868" w:rsidP="00E032DB">
      <w:pPr>
        <w:spacing w:line="240" w:lineRule="auto"/>
      </w:pPr>
      <w:r>
        <w:separator/>
      </w:r>
    </w:p>
  </w:endnote>
  <w:endnote w:type="continuationSeparator" w:id="0">
    <w:p w14:paraId="6D89552E" w14:textId="77777777" w:rsidR="00A04868" w:rsidRDefault="00A04868" w:rsidP="00E03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chen">
    <w:altName w:val="Calibri"/>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576357"/>
      <w:docPartObj>
        <w:docPartGallery w:val="Page Numbers (Bottom of Page)"/>
        <w:docPartUnique/>
      </w:docPartObj>
    </w:sdtPr>
    <w:sdtEndPr>
      <w:rPr>
        <w:rStyle w:val="PageNumber"/>
      </w:rPr>
    </w:sdtEndPr>
    <w:sdtContent>
      <w:p w14:paraId="1AA249EB" w14:textId="77777777" w:rsidR="007E44FC" w:rsidRDefault="007E44FC" w:rsidP="003D6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FA7457" w14:textId="77777777" w:rsidR="0016204B" w:rsidRDefault="0016204B" w:rsidP="007E4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917422"/>
      <w:docPartObj>
        <w:docPartGallery w:val="Page Numbers (Bottom of Page)"/>
        <w:docPartUnique/>
      </w:docPartObj>
    </w:sdtPr>
    <w:sdtEndPr>
      <w:rPr>
        <w:rStyle w:val="PageNumber"/>
      </w:rPr>
    </w:sdtEndPr>
    <w:sdtContent>
      <w:p w14:paraId="557164B1" w14:textId="77777777" w:rsidR="007E44FC" w:rsidRDefault="007E44FC" w:rsidP="003D6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30BF00" w14:textId="77777777" w:rsidR="00CD0F88" w:rsidRDefault="00CD0F88" w:rsidP="00CD0F88">
    <w:pPr>
      <w:pBdr>
        <w:top w:val="single" w:sz="24" w:space="1" w:color="823B0B"/>
        <w:left w:val="nil"/>
        <w:bottom w:val="nil"/>
        <w:right w:val="nil"/>
        <w:between w:val="nil"/>
      </w:pBdr>
      <w:tabs>
        <w:tab w:val="center" w:pos="4680"/>
        <w:tab w:val="right" w:pos="9360"/>
      </w:tabs>
      <w:jc w:val="center"/>
      <w:rPr>
        <w:rFonts w:ascii="Microsoft Himalaya" w:eastAsia="Uchen" w:hAnsi="Microsoft Himalaya" w:cs="Microsoft Himalaya"/>
        <w:color w:val="000000"/>
        <w:sz w:val="24"/>
        <w:szCs w:val="24"/>
      </w:rPr>
    </w:pPr>
    <w:r>
      <w:rPr>
        <w:rFonts w:ascii="Microsoft Himalaya" w:eastAsia="Uchen" w:hAnsi="Microsoft Himalaya" w:cs="Microsoft Himalaya"/>
        <w:color w:val="000000"/>
        <w:sz w:val="24"/>
        <w:szCs w:val="24"/>
      </w:rPr>
      <w:t>འགྲེམ་སྒྲོམ་ཨང་</w:t>
    </w:r>
    <w:r>
      <w:rPr>
        <w:color w:val="000000"/>
      </w:rPr>
      <w:t xml:space="preserve"> </w:t>
    </w:r>
    <w:r>
      <w:rPr>
        <w:rFonts w:ascii="Microsoft Himalaya" w:eastAsia="Uchen" w:hAnsi="Microsoft Himalaya" w:cs="Microsoft Himalaya"/>
        <w:color w:val="000000"/>
        <w:sz w:val="24"/>
        <w:szCs w:val="24"/>
      </w:rPr>
      <w:t>༡༤༡</w:t>
    </w:r>
    <w:r>
      <w:rPr>
        <w:rFonts w:ascii="Uchen" w:eastAsia="Uchen" w:hAnsi="Uchen" w:cs="Uchen"/>
        <w:color w:val="000000"/>
        <w:sz w:val="24"/>
        <w:szCs w:val="24"/>
      </w:rPr>
      <w:t xml:space="preserve">   </w:t>
    </w:r>
    <w:r>
      <w:rPr>
        <w:rFonts w:ascii="Microsoft Himalaya" w:eastAsia="Uchen" w:hAnsi="Microsoft Himalaya" w:cs="Microsoft Himalaya"/>
        <w:color w:val="000000"/>
        <w:sz w:val="24"/>
        <w:szCs w:val="24"/>
      </w:rPr>
      <w:t>བརྒྱུད་འཕྲུན་ཨང་།</w:t>
    </w:r>
    <w:r>
      <w:rPr>
        <w:rFonts w:ascii="Uchen" w:eastAsia="Uchen" w:hAnsi="Uchen" w:cs="Uchen"/>
        <w:color w:val="000000"/>
        <w:sz w:val="24"/>
        <w:szCs w:val="24"/>
      </w:rPr>
      <w:t xml:space="preserve"> (</w:t>
    </w:r>
    <w:r>
      <w:rPr>
        <w:rFonts w:ascii="Microsoft Himalaya" w:eastAsia="Uchen" w:hAnsi="Microsoft Himalaya" w:cs="Microsoft Himalaya"/>
        <w:color w:val="000000"/>
        <w:sz w:val="24"/>
        <w:szCs w:val="24"/>
      </w:rPr>
      <w:t>༩༧༥</w:t>
    </w:r>
    <w:r>
      <w:rPr>
        <w:rFonts w:ascii="Uchen" w:eastAsia="Uchen" w:hAnsi="Uchen" w:cs="Uchen"/>
        <w:color w:val="000000"/>
        <w:sz w:val="24"/>
        <w:szCs w:val="24"/>
      </w:rPr>
      <w:t xml:space="preserve">) </w:t>
    </w:r>
    <w:r>
      <w:rPr>
        <w:rFonts w:ascii="Microsoft Himalaya" w:eastAsia="Uchen" w:hAnsi="Microsoft Himalaya" w:cs="Microsoft Himalaya"/>
        <w:color w:val="000000"/>
        <w:sz w:val="24"/>
        <w:szCs w:val="24"/>
      </w:rPr>
      <w:t>༣༢༣༣༨༤</w:t>
    </w:r>
    <w:r>
      <w:rPr>
        <w:rFonts w:ascii="Uchen" w:eastAsia="Uchen" w:hAnsi="Uchen" w:cs="Uchen"/>
        <w:color w:val="000000"/>
        <w:sz w:val="24"/>
        <w:szCs w:val="24"/>
      </w:rPr>
      <w:t>/</w:t>
    </w:r>
    <w:r>
      <w:rPr>
        <w:rFonts w:ascii="Microsoft Himalaya" w:eastAsia="Uchen" w:hAnsi="Microsoft Himalaya" w:cs="Microsoft Himalaya"/>
        <w:color w:val="000000"/>
        <w:sz w:val="24"/>
        <w:szCs w:val="24"/>
      </w:rPr>
      <w:t>༣༢༤༣༢༣</w:t>
    </w:r>
    <w:r>
      <w:rPr>
        <w:rFonts w:ascii="Uchen" w:eastAsia="Uchen" w:hAnsi="Uchen" w:cs="Uchen"/>
        <w:color w:val="000000"/>
        <w:sz w:val="24"/>
        <w:szCs w:val="24"/>
      </w:rPr>
      <w:t>/</w:t>
    </w:r>
    <w:r>
      <w:rPr>
        <w:rFonts w:ascii="Microsoft Himalaya" w:eastAsia="Uchen" w:hAnsi="Microsoft Himalaya" w:cs="Microsoft Himalaya"/>
        <w:color w:val="000000"/>
        <w:sz w:val="24"/>
        <w:szCs w:val="24"/>
      </w:rPr>
      <w:t>༣༢༦༩༩༣</w:t>
    </w:r>
  </w:p>
  <w:p w14:paraId="3B1C6800" w14:textId="77777777" w:rsidR="00CD0F88" w:rsidRPr="00CD0F88" w:rsidRDefault="00CD0F88" w:rsidP="00CD0F88">
    <w:pPr>
      <w:pBdr>
        <w:top w:val="single" w:sz="24" w:space="1" w:color="823B0B"/>
        <w:left w:val="nil"/>
        <w:bottom w:val="nil"/>
        <w:right w:val="nil"/>
        <w:between w:val="nil"/>
      </w:pBdr>
      <w:tabs>
        <w:tab w:val="center" w:pos="4680"/>
        <w:tab w:val="right" w:pos="9360"/>
      </w:tabs>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ADE4" w14:textId="77777777" w:rsidR="00A04868" w:rsidRDefault="00A04868" w:rsidP="00E032DB">
      <w:pPr>
        <w:spacing w:line="240" w:lineRule="auto"/>
      </w:pPr>
      <w:r>
        <w:separator/>
      </w:r>
    </w:p>
  </w:footnote>
  <w:footnote w:type="continuationSeparator" w:id="0">
    <w:p w14:paraId="009D5559" w14:textId="77777777" w:rsidR="00A04868" w:rsidRDefault="00A04868" w:rsidP="00E03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7F23" w14:textId="77777777" w:rsidR="00E032DB" w:rsidRDefault="00E03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C138" w14:textId="77777777" w:rsidR="00356EFD" w:rsidRDefault="00356EFD" w:rsidP="00356EFD">
    <w:pPr>
      <w:widowControl w:val="0"/>
      <w:pBdr>
        <w:top w:val="nil"/>
        <w:left w:val="nil"/>
        <w:bottom w:val="nil"/>
        <w:right w:val="nil"/>
        <w:between w:val="nil"/>
      </w:pBdr>
      <w:rPr>
        <w:rFonts w:ascii="Times New Roman" w:eastAsia="Times New Roman" w:hAnsi="Times New Roman" w:cs="Times New Roman"/>
        <w:color w:val="000000"/>
        <w:sz w:val="24"/>
        <w:szCs w:val="24"/>
      </w:rPr>
    </w:pPr>
  </w:p>
  <w:tbl>
    <w:tblPr>
      <w:tblW w:w="10620" w:type="dxa"/>
      <w:tblInd w:w="-725"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106"/>
      <w:gridCol w:w="6528"/>
      <w:gridCol w:w="1986"/>
    </w:tblGrid>
    <w:tr w:rsidR="00356EFD" w14:paraId="4DA0928F" w14:textId="77777777" w:rsidTr="00D810A9">
      <w:trPr>
        <w:trHeight w:val="2610"/>
      </w:trPr>
      <w:tc>
        <w:tcPr>
          <w:tcW w:w="2106" w:type="dxa"/>
        </w:tcPr>
        <w:p w14:paraId="037E5079" w14:textId="77777777" w:rsidR="00356EFD" w:rsidRDefault="00356EFD" w:rsidP="00356EFD">
          <w:pPr>
            <w:tabs>
              <w:tab w:val="center" w:pos="4680"/>
              <w:tab w:val="right" w:pos="9360"/>
            </w:tabs>
            <w:rPr>
              <w:rFonts w:ascii="Uchen" w:eastAsia="Uchen" w:hAnsi="Uchen" w:cs="Uchen"/>
              <w:b/>
              <w:sz w:val="10"/>
              <w:szCs w:val="10"/>
            </w:rPr>
          </w:pPr>
          <w:r>
            <w:rPr>
              <w:noProof/>
            </w:rPr>
            <w:drawing>
              <wp:anchor distT="0" distB="0" distL="114300" distR="114300" simplePos="0" relativeHeight="251660288" behindDoc="0" locked="0" layoutInCell="1" hidden="0" allowOverlap="1" wp14:anchorId="31078D87" wp14:editId="09CD451E">
                <wp:simplePos x="0" y="0"/>
                <wp:positionH relativeFrom="column">
                  <wp:posOffset>-27939</wp:posOffset>
                </wp:positionH>
                <wp:positionV relativeFrom="paragraph">
                  <wp:posOffset>209550</wp:posOffset>
                </wp:positionV>
                <wp:extent cx="1190625" cy="1162050"/>
                <wp:effectExtent l="0" t="0" r="0" b="0"/>
                <wp:wrapSquare wrapText="bothSides" distT="0" distB="0" distL="114300" distR="114300"/>
                <wp:docPr id="1040195035" name="image1.jpg" descr="F:\bhutan government logo small.jpg"/>
                <wp:cNvGraphicFramePr/>
                <a:graphic xmlns:a="http://schemas.openxmlformats.org/drawingml/2006/main">
                  <a:graphicData uri="http://schemas.openxmlformats.org/drawingml/2006/picture">
                    <pic:pic xmlns:pic="http://schemas.openxmlformats.org/drawingml/2006/picture">
                      <pic:nvPicPr>
                        <pic:cNvPr id="0" name="image1.jpg" descr="F:\bhutan government logo small.jpg"/>
                        <pic:cNvPicPr preferRelativeResize="0"/>
                      </pic:nvPicPr>
                      <pic:blipFill>
                        <a:blip r:embed="rId1"/>
                        <a:srcRect/>
                        <a:stretch>
                          <a:fillRect/>
                        </a:stretch>
                      </pic:blipFill>
                      <pic:spPr>
                        <a:xfrm>
                          <a:off x="0" y="0"/>
                          <a:ext cx="1190625" cy="1162050"/>
                        </a:xfrm>
                        <a:prstGeom prst="rect">
                          <a:avLst/>
                        </a:prstGeom>
                        <a:ln/>
                      </pic:spPr>
                    </pic:pic>
                  </a:graphicData>
                </a:graphic>
              </wp:anchor>
            </w:drawing>
          </w:r>
        </w:p>
      </w:tc>
      <w:tc>
        <w:tcPr>
          <w:tcW w:w="6528" w:type="dxa"/>
        </w:tcPr>
        <w:p w14:paraId="1FE1DE3E" w14:textId="77777777" w:rsidR="00356EFD" w:rsidRDefault="00356EFD" w:rsidP="00356EFD">
          <w:pPr>
            <w:tabs>
              <w:tab w:val="center" w:pos="4680"/>
              <w:tab w:val="right" w:pos="9360"/>
            </w:tabs>
            <w:jc w:val="center"/>
            <w:rPr>
              <w:rFonts w:ascii="Uchen" w:eastAsia="Uchen" w:hAnsi="Uchen" w:cs="Uchen"/>
              <w:b/>
              <w:sz w:val="24"/>
              <w:szCs w:val="24"/>
            </w:rPr>
          </w:pPr>
          <w:r>
            <w:rPr>
              <w:rFonts w:ascii="Microsoft Himalaya" w:eastAsia="Uchen" w:hAnsi="Microsoft Himalaya" w:cs="Microsoft Himalaya"/>
              <w:b/>
              <w:sz w:val="24"/>
              <w:szCs w:val="24"/>
            </w:rPr>
            <w:t>དཔལ་ལྡན་འབྲུག་གཞུང་།</w:t>
          </w:r>
        </w:p>
        <w:p w14:paraId="3717B16A" w14:textId="77777777" w:rsidR="00356EFD" w:rsidRDefault="00356EFD" w:rsidP="00356EFD">
          <w:pPr>
            <w:tabs>
              <w:tab w:val="center" w:pos="4680"/>
              <w:tab w:val="right" w:pos="9360"/>
            </w:tabs>
            <w:jc w:val="center"/>
            <w:rPr>
              <w:rFonts w:ascii="Uchen" w:eastAsia="Uchen" w:hAnsi="Uchen" w:cs="Uchen"/>
              <w:b/>
              <w:sz w:val="24"/>
              <w:szCs w:val="24"/>
            </w:rPr>
          </w:pPr>
          <w:r>
            <w:rPr>
              <w:rFonts w:ascii="Microsoft Himalaya" w:eastAsia="Uchen" w:hAnsi="Microsoft Himalaya" w:cs="Microsoft Himalaya"/>
              <w:b/>
              <w:sz w:val="24"/>
              <w:szCs w:val="24"/>
            </w:rPr>
            <w:t>ནུས་ཤུགས་དང་རང་བཞིན་ཐོན་སྐྱེད་ལྷན་ཁག།</w:t>
          </w:r>
        </w:p>
        <w:p w14:paraId="22FDEE86" w14:textId="77777777" w:rsidR="00356EFD" w:rsidRDefault="00356EFD" w:rsidP="00356EFD">
          <w:pPr>
            <w:ind w:left="-540" w:right="-270"/>
            <w:jc w:val="center"/>
            <w:rPr>
              <w:rFonts w:ascii="Uchen" w:eastAsia="Uchen" w:hAnsi="Uchen" w:cs="Uchen"/>
              <w:b/>
              <w:sz w:val="28"/>
              <w:szCs w:val="28"/>
            </w:rPr>
          </w:pPr>
          <w:r>
            <w:rPr>
              <w:rFonts w:ascii="Microsoft Himalaya" w:eastAsia="Uchen" w:hAnsi="Microsoft Himalaya" w:cs="Microsoft Himalaya"/>
              <w:b/>
              <w:sz w:val="28"/>
              <w:szCs w:val="28"/>
            </w:rPr>
            <w:t>མཐའ་འཁོར་དང་གནམ་གཤིས་འགྱུར་བགྲོད་ལས་ཁུངས།</w:t>
          </w:r>
        </w:p>
        <w:p w14:paraId="02B45B4E" w14:textId="77777777" w:rsidR="00356EFD" w:rsidRDefault="00356EFD" w:rsidP="00356EFD">
          <w:pPr>
            <w:ind w:left="-720" w:right="-270"/>
            <w:jc w:val="center"/>
            <w:rPr>
              <w:rFonts w:ascii="Candara" w:eastAsia="Candara" w:hAnsi="Candara" w:cs="Candara"/>
              <w:b/>
              <w:sz w:val="28"/>
              <w:szCs w:val="28"/>
            </w:rPr>
          </w:pPr>
          <w:r>
            <w:rPr>
              <w:rFonts w:ascii="Candara" w:eastAsia="Candara" w:hAnsi="Candara" w:cs="Candara"/>
              <w:b/>
              <w:sz w:val="28"/>
              <w:szCs w:val="28"/>
            </w:rPr>
            <w:t>Department of Environment and Climate Change</w:t>
          </w:r>
        </w:p>
        <w:p w14:paraId="5C1F83E5" w14:textId="77777777" w:rsidR="00356EFD" w:rsidRDefault="00356EFD" w:rsidP="00356EFD">
          <w:pPr>
            <w:jc w:val="center"/>
            <w:rPr>
              <w:rFonts w:ascii="Candara" w:eastAsia="Candara" w:hAnsi="Candara" w:cs="Candara"/>
              <w:b/>
              <w:sz w:val="24"/>
              <w:szCs w:val="24"/>
            </w:rPr>
          </w:pPr>
          <w:r>
            <w:rPr>
              <w:rFonts w:ascii="Candara" w:eastAsia="Candara" w:hAnsi="Candara" w:cs="Candara"/>
              <w:b/>
              <w:sz w:val="24"/>
              <w:szCs w:val="24"/>
            </w:rPr>
            <w:t>Ministry of Energy and Natural Resources</w:t>
          </w:r>
        </w:p>
        <w:p w14:paraId="4013C9C0" w14:textId="77777777" w:rsidR="00356EFD" w:rsidRDefault="00356EFD" w:rsidP="00356EFD">
          <w:pPr>
            <w:tabs>
              <w:tab w:val="center" w:pos="4680"/>
              <w:tab w:val="right" w:pos="9360"/>
            </w:tabs>
            <w:jc w:val="center"/>
            <w:rPr>
              <w:rFonts w:ascii="Candara" w:eastAsia="Candara" w:hAnsi="Candara" w:cs="Candara"/>
              <w:b/>
              <w:sz w:val="24"/>
              <w:szCs w:val="24"/>
            </w:rPr>
          </w:pPr>
          <w:r>
            <w:rPr>
              <w:rFonts w:ascii="Candara" w:eastAsia="Candara" w:hAnsi="Candara" w:cs="Candara"/>
              <w:b/>
              <w:sz w:val="24"/>
              <w:szCs w:val="24"/>
            </w:rPr>
            <w:t>Royal Government of Bhutan</w:t>
          </w:r>
        </w:p>
        <w:p w14:paraId="522FA842" w14:textId="77777777" w:rsidR="00356EFD" w:rsidRDefault="00356EFD" w:rsidP="00356EFD">
          <w:pPr>
            <w:tabs>
              <w:tab w:val="center" w:pos="4680"/>
              <w:tab w:val="right" w:pos="9360"/>
            </w:tabs>
            <w:jc w:val="center"/>
            <w:rPr>
              <w:rFonts w:ascii="Uchen" w:eastAsia="Uchen" w:hAnsi="Uchen" w:cs="Uchen"/>
              <w:b/>
              <w:sz w:val="24"/>
              <w:szCs w:val="24"/>
            </w:rPr>
          </w:pPr>
          <w:r>
            <w:rPr>
              <w:rFonts w:ascii="Candara" w:eastAsia="Candara" w:hAnsi="Candara" w:cs="Candara"/>
              <w:b/>
              <w:sz w:val="24"/>
              <w:szCs w:val="24"/>
            </w:rPr>
            <w:t>Thimphu</w:t>
          </w:r>
        </w:p>
      </w:tc>
      <w:tc>
        <w:tcPr>
          <w:tcW w:w="1986" w:type="dxa"/>
        </w:tcPr>
        <w:p w14:paraId="0956E032" w14:textId="77777777" w:rsidR="00356EFD" w:rsidRDefault="00356EFD" w:rsidP="00356EFD">
          <w:pPr>
            <w:tabs>
              <w:tab w:val="center" w:pos="4680"/>
              <w:tab w:val="right" w:pos="9360"/>
            </w:tabs>
          </w:pPr>
        </w:p>
        <w:p w14:paraId="64E38713" w14:textId="77777777" w:rsidR="00356EFD" w:rsidRDefault="00356EFD" w:rsidP="00356EFD">
          <w:pPr>
            <w:tabs>
              <w:tab w:val="center" w:pos="4680"/>
              <w:tab w:val="right" w:pos="9360"/>
            </w:tabs>
          </w:pPr>
        </w:p>
        <w:p w14:paraId="07C1C47D" w14:textId="77777777" w:rsidR="00356EFD" w:rsidRDefault="00356EFD" w:rsidP="00356EFD">
          <w:pPr>
            <w:tabs>
              <w:tab w:val="center" w:pos="4680"/>
              <w:tab w:val="right" w:pos="9360"/>
            </w:tabs>
          </w:pPr>
        </w:p>
        <w:p w14:paraId="2F9BA80F" w14:textId="77777777" w:rsidR="00356EFD" w:rsidRDefault="00356EFD" w:rsidP="00356EFD">
          <w:pPr>
            <w:tabs>
              <w:tab w:val="center" w:pos="4680"/>
              <w:tab w:val="right" w:pos="9360"/>
            </w:tabs>
          </w:pPr>
        </w:p>
        <w:p w14:paraId="018B0738" w14:textId="77777777" w:rsidR="00356EFD" w:rsidRDefault="00356EFD" w:rsidP="00356EFD">
          <w:pPr>
            <w:tabs>
              <w:tab w:val="center" w:pos="4680"/>
              <w:tab w:val="right" w:pos="9360"/>
            </w:tabs>
            <w:jc w:val="center"/>
            <w:rPr>
              <w:rFonts w:ascii="Uchen" w:eastAsia="Uchen" w:hAnsi="Uchen" w:cs="Uchen"/>
              <w:b/>
              <w:sz w:val="24"/>
              <w:szCs w:val="24"/>
            </w:rPr>
          </w:pPr>
          <w:r>
            <w:rPr>
              <w:noProof/>
            </w:rPr>
            <w:drawing>
              <wp:inline distT="0" distB="0" distL="0" distR="0" wp14:anchorId="22E157E8" wp14:editId="39F6281D">
                <wp:extent cx="1126873" cy="392319"/>
                <wp:effectExtent l="0" t="0" r="0" b="0"/>
                <wp:docPr id="3012857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26873" cy="392319"/>
                        </a:xfrm>
                        <a:prstGeom prst="rect">
                          <a:avLst/>
                        </a:prstGeom>
                        <a:ln/>
                      </pic:spPr>
                    </pic:pic>
                  </a:graphicData>
                </a:graphic>
              </wp:inline>
            </w:drawing>
          </w:r>
        </w:p>
      </w:tc>
    </w:tr>
  </w:tbl>
  <w:p w14:paraId="24236007" w14:textId="77777777" w:rsidR="00E032DB" w:rsidRPr="00356EFD" w:rsidRDefault="00E032DB" w:rsidP="00356EFD">
    <w:pPr>
      <w:tabs>
        <w:tab w:val="center" w:pos="4680"/>
        <w:tab w:val="right" w:pos="9360"/>
      </w:tabs>
      <w:spacing w:line="120" w:lineRule="auto"/>
      <w:rPr>
        <w:rFonts w:ascii="Times New Roman" w:eastAsia="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2D93" w14:textId="77777777" w:rsidR="00E032DB" w:rsidRDefault="00E03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FEE"/>
    <w:multiLevelType w:val="multilevel"/>
    <w:tmpl w:val="6DC81E6E"/>
    <w:lvl w:ilvl="0">
      <w:start w:val="1"/>
      <w:numFmt w:val="decimal"/>
      <w:lvlText w:val="%1."/>
      <w:lvlJc w:val="left"/>
      <w:pPr>
        <w:ind w:left="525" w:hanging="360"/>
      </w:pPr>
      <w:rPr>
        <w:u w:val="none"/>
      </w:rPr>
    </w:lvl>
    <w:lvl w:ilvl="1">
      <w:start w:val="1"/>
      <w:numFmt w:val="lowerLetter"/>
      <w:lvlText w:val="%2."/>
      <w:lvlJc w:val="left"/>
      <w:pPr>
        <w:ind w:left="1245" w:hanging="360"/>
      </w:pPr>
      <w:rPr>
        <w:u w:val="none"/>
      </w:rPr>
    </w:lvl>
    <w:lvl w:ilvl="2">
      <w:numFmt w:val="bullet"/>
      <w:lvlText w:val="•"/>
      <w:lvlJc w:val="left"/>
      <w:pPr>
        <w:ind w:left="2126" w:hanging="360"/>
      </w:pPr>
      <w:rPr>
        <w:u w:val="none"/>
      </w:rPr>
    </w:lvl>
    <w:lvl w:ilvl="3">
      <w:numFmt w:val="bullet"/>
      <w:lvlText w:val="•"/>
      <w:lvlJc w:val="left"/>
      <w:pPr>
        <w:ind w:left="3012" w:hanging="360"/>
      </w:pPr>
      <w:rPr>
        <w:u w:val="none"/>
      </w:rPr>
    </w:lvl>
    <w:lvl w:ilvl="4">
      <w:numFmt w:val="bullet"/>
      <w:lvlText w:val="•"/>
      <w:lvlJc w:val="left"/>
      <w:pPr>
        <w:ind w:left="3898" w:hanging="360"/>
      </w:pPr>
      <w:rPr>
        <w:u w:val="none"/>
      </w:rPr>
    </w:lvl>
    <w:lvl w:ilvl="5">
      <w:numFmt w:val="bullet"/>
      <w:lvlText w:val="•"/>
      <w:lvlJc w:val="left"/>
      <w:pPr>
        <w:ind w:left="4784" w:hanging="360"/>
      </w:pPr>
      <w:rPr>
        <w:u w:val="none"/>
      </w:rPr>
    </w:lvl>
    <w:lvl w:ilvl="6">
      <w:numFmt w:val="bullet"/>
      <w:lvlText w:val="•"/>
      <w:lvlJc w:val="left"/>
      <w:pPr>
        <w:ind w:left="5670" w:hanging="360"/>
      </w:pPr>
      <w:rPr>
        <w:u w:val="none"/>
      </w:rPr>
    </w:lvl>
    <w:lvl w:ilvl="7">
      <w:numFmt w:val="bullet"/>
      <w:lvlText w:val="•"/>
      <w:lvlJc w:val="left"/>
      <w:pPr>
        <w:ind w:left="6556" w:hanging="360"/>
      </w:pPr>
      <w:rPr>
        <w:u w:val="none"/>
      </w:rPr>
    </w:lvl>
    <w:lvl w:ilvl="8">
      <w:numFmt w:val="bullet"/>
      <w:lvlText w:val="•"/>
      <w:lvlJc w:val="left"/>
      <w:pPr>
        <w:ind w:left="7442" w:hanging="360"/>
      </w:pPr>
      <w:rPr>
        <w:u w:val="none"/>
      </w:rPr>
    </w:lvl>
  </w:abstractNum>
  <w:abstractNum w:abstractNumId="1" w15:restartNumberingAfterBreak="0">
    <w:nsid w:val="5A5548AD"/>
    <w:multiLevelType w:val="hybridMultilevel"/>
    <w:tmpl w:val="C4A6A508"/>
    <w:lvl w:ilvl="0" w:tplc="99583F88">
      <w:start w:val="1"/>
      <w:numFmt w:val="bullet"/>
      <w:lvlText w:val=""/>
      <w:lvlJc w:val="left"/>
      <w:pPr>
        <w:tabs>
          <w:tab w:val="num" w:pos="720"/>
        </w:tabs>
        <w:ind w:left="720" w:hanging="360"/>
      </w:pPr>
      <w:rPr>
        <w:rFonts w:ascii="Symbol" w:hAnsi="Symbol" w:hint="default"/>
      </w:rPr>
    </w:lvl>
    <w:lvl w:ilvl="1" w:tplc="91CE1D5E" w:tentative="1">
      <w:start w:val="1"/>
      <w:numFmt w:val="bullet"/>
      <w:lvlText w:val=""/>
      <w:lvlJc w:val="left"/>
      <w:pPr>
        <w:tabs>
          <w:tab w:val="num" w:pos="1440"/>
        </w:tabs>
        <w:ind w:left="1440" w:hanging="360"/>
      </w:pPr>
      <w:rPr>
        <w:rFonts w:ascii="Symbol" w:hAnsi="Symbol" w:hint="default"/>
      </w:rPr>
    </w:lvl>
    <w:lvl w:ilvl="2" w:tplc="E96C83FE" w:tentative="1">
      <w:start w:val="1"/>
      <w:numFmt w:val="bullet"/>
      <w:lvlText w:val=""/>
      <w:lvlJc w:val="left"/>
      <w:pPr>
        <w:tabs>
          <w:tab w:val="num" w:pos="2160"/>
        </w:tabs>
        <w:ind w:left="2160" w:hanging="360"/>
      </w:pPr>
      <w:rPr>
        <w:rFonts w:ascii="Symbol" w:hAnsi="Symbol" w:hint="default"/>
      </w:rPr>
    </w:lvl>
    <w:lvl w:ilvl="3" w:tplc="157804BA" w:tentative="1">
      <w:start w:val="1"/>
      <w:numFmt w:val="bullet"/>
      <w:lvlText w:val=""/>
      <w:lvlJc w:val="left"/>
      <w:pPr>
        <w:tabs>
          <w:tab w:val="num" w:pos="2880"/>
        </w:tabs>
        <w:ind w:left="2880" w:hanging="360"/>
      </w:pPr>
      <w:rPr>
        <w:rFonts w:ascii="Symbol" w:hAnsi="Symbol" w:hint="default"/>
      </w:rPr>
    </w:lvl>
    <w:lvl w:ilvl="4" w:tplc="CA2EF0DA" w:tentative="1">
      <w:start w:val="1"/>
      <w:numFmt w:val="bullet"/>
      <w:lvlText w:val=""/>
      <w:lvlJc w:val="left"/>
      <w:pPr>
        <w:tabs>
          <w:tab w:val="num" w:pos="3600"/>
        </w:tabs>
        <w:ind w:left="3600" w:hanging="360"/>
      </w:pPr>
      <w:rPr>
        <w:rFonts w:ascii="Symbol" w:hAnsi="Symbol" w:hint="default"/>
      </w:rPr>
    </w:lvl>
    <w:lvl w:ilvl="5" w:tplc="6E0E813A" w:tentative="1">
      <w:start w:val="1"/>
      <w:numFmt w:val="bullet"/>
      <w:lvlText w:val=""/>
      <w:lvlJc w:val="left"/>
      <w:pPr>
        <w:tabs>
          <w:tab w:val="num" w:pos="4320"/>
        </w:tabs>
        <w:ind w:left="4320" w:hanging="360"/>
      </w:pPr>
      <w:rPr>
        <w:rFonts w:ascii="Symbol" w:hAnsi="Symbol" w:hint="default"/>
      </w:rPr>
    </w:lvl>
    <w:lvl w:ilvl="6" w:tplc="F5AEA84A" w:tentative="1">
      <w:start w:val="1"/>
      <w:numFmt w:val="bullet"/>
      <w:lvlText w:val=""/>
      <w:lvlJc w:val="left"/>
      <w:pPr>
        <w:tabs>
          <w:tab w:val="num" w:pos="5040"/>
        </w:tabs>
        <w:ind w:left="5040" w:hanging="360"/>
      </w:pPr>
      <w:rPr>
        <w:rFonts w:ascii="Symbol" w:hAnsi="Symbol" w:hint="default"/>
      </w:rPr>
    </w:lvl>
    <w:lvl w:ilvl="7" w:tplc="C76606E4" w:tentative="1">
      <w:start w:val="1"/>
      <w:numFmt w:val="bullet"/>
      <w:lvlText w:val=""/>
      <w:lvlJc w:val="left"/>
      <w:pPr>
        <w:tabs>
          <w:tab w:val="num" w:pos="5760"/>
        </w:tabs>
        <w:ind w:left="5760" w:hanging="360"/>
      </w:pPr>
      <w:rPr>
        <w:rFonts w:ascii="Symbol" w:hAnsi="Symbol" w:hint="default"/>
      </w:rPr>
    </w:lvl>
    <w:lvl w:ilvl="8" w:tplc="A5925BD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0AD0B88"/>
    <w:multiLevelType w:val="multilevel"/>
    <w:tmpl w:val="2CDC4668"/>
    <w:lvl w:ilvl="0">
      <w:start w:val="1"/>
      <w:numFmt w:val="bullet"/>
      <w:lvlText w:val="●"/>
      <w:lvlJc w:val="left"/>
      <w:pPr>
        <w:ind w:left="338" w:hanging="360"/>
      </w:pPr>
      <w:rPr>
        <w:u w:val="none"/>
      </w:rPr>
    </w:lvl>
    <w:lvl w:ilvl="1">
      <w:start w:val="1"/>
      <w:numFmt w:val="bullet"/>
      <w:lvlText w:val="o"/>
      <w:lvlJc w:val="left"/>
      <w:pPr>
        <w:ind w:left="1058" w:hanging="360"/>
      </w:pPr>
      <w:rPr>
        <w:u w:val="none"/>
      </w:rPr>
    </w:lvl>
    <w:lvl w:ilvl="2">
      <w:start w:val="1"/>
      <w:numFmt w:val="bullet"/>
      <w:lvlText w:val="▪"/>
      <w:lvlJc w:val="left"/>
      <w:pPr>
        <w:ind w:left="1778" w:hanging="360"/>
      </w:pPr>
      <w:rPr>
        <w:u w:val="none"/>
      </w:rPr>
    </w:lvl>
    <w:lvl w:ilvl="3">
      <w:start w:val="1"/>
      <w:numFmt w:val="bullet"/>
      <w:lvlText w:val="●"/>
      <w:lvlJc w:val="left"/>
      <w:pPr>
        <w:ind w:left="2498" w:hanging="360"/>
      </w:pPr>
      <w:rPr>
        <w:u w:val="none"/>
      </w:rPr>
    </w:lvl>
    <w:lvl w:ilvl="4">
      <w:start w:val="1"/>
      <w:numFmt w:val="bullet"/>
      <w:lvlText w:val="o"/>
      <w:lvlJc w:val="left"/>
      <w:pPr>
        <w:ind w:left="3218" w:hanging="360"/>
      </w:pPr>
      <w:rPr>
        <w:u w:val="none"/>
      </w:rPr>
    </w:lvl>
    <w:lvl w:ilvl="5">
      <w:start w:val="1"/>
      <w:numFmt w:val="bullet"/>
      <w:lvlText w:val="▪"/>
      <w:lvlJc w:val="left"/>
      <w:pPr>
        <w:ind w:left="3938" w:hanging="360"/>
      </w:pPr>
      <w:rPr>
        <w:u w:val="none"/>
      </w:rPr>
    </w:lvl>
    <w:lvl w:ilvl="6">
      <w:start w:val="1"/>
      <w:numFmt w:val="bullet"/>
      <w:lvlText w:val="●"/>
      <w:lvlJc w:val="left"/>
      <w:pPr>
        <w:ind w:left="4658" w:hanging="360"/>
      </w:pPr>
      <w:rPr>
        <w:u w:val="none"/>
      </w:rPr>
    </w:lvl>
    <w:lvl w:ilvl="7">
      <w:start w:val="1"/>
      <w:numFmt w:val="bullet"/>
      <w:lvlText w:val="o"/>
      <w:lvlJc w:val="left"/>
      <w:pPr>
        <w:ind w:left="5378" w:hanging="360"/>
      </w:pPr>
      <w:rPr>
        <w:u w:val="none"/>
      </w:rPr>
    </w:lvl>
    <w:lvl w:ilvl="8">
      <w:start w:val="1"/>
      <w:numFmt w:val="bullet"/>
      <w:lvlText w:val="▪"/>
      <w:lvlJc w:val="left"/>
      <w:pPr>
        <w:ind w:left="6098" w:hanging="360"/>
      </w:pPr>
      <w:rPr>
        <w:u w:val="none"/>
      </w:rPr>
    </w:lvl>
  </w:abstractNum>
  <w:abstractNum w:abstractNumId="3" w15:restartNumberingAfterBreak="0">
    <w:nsid w:val="77665D53"/>
    <w:multiLevelType w:val="multilevel"/>
    <w:tmpl w:val="E83A9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395387">
    <w:abstractNumId w:val="0"/>
  </w:num>
  <w:num w:numId="2" w16cid:durableId="817263327">
    <w:abstractNumId w:val="2"/>
  </w:num>
  <w:num w:numId="3" w16cid:durableId="1308821139">
    <w:abstractNumId w:val="3"/>
  </w:num>
  <w:num w:numId="4" w16cid:durableId="79039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CC"/>
    <w:rsid w:val="0016204B"/>
    <w:rsid w:val="001830A8"/>
    <w:rsid w:val="001F608B"/>
    <w:rsid w:val="00356EFD"/>
    <w:rsid w:val="003C5A01"/>
    <w:rsid w:val="006E7007"/>
    <w:rsid w:val="007E44FC"/>
    <w:rsid w:val="008D728F"/>
    <w:rsid w:val="009B277A"/>
    <w:rsid w:val="00A04868"/>
    <w:rsid w:val="00A3646F"/>
    <w:rsid w:val="00A75483"/>
    <w:rsid w:val="00B82ACC"/>
    <w:rsid w:val="00C76D7D"/>
    <w:rsid w:val="00CD0F88"/>
    <w:rsid w:val="00D3194B"/>
    <w:rsid w:val="00DC5088"/>
    <w:rsid w:val="00E032DB"/>
    <w:rsid w:val="00E1221A"/>
    <w:rsid w:val="00F81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6409"/>
  <w15:docId w15:val="{301BEA6D-3C8C-5E48-85DD-E376DF6B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semiHidden/>
    <w:unhideWhenUsed/>
    <w:qFormat/>
    <w:pPr>
      <w:keepNext/>
      <w:keepLines/>
      <w:outlineLvl w:val="1"/>
    </w:p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Pr>
  </w:style>
  <w:style w:type="paragraph" w:styleId="Subtitle">
    <w:name w:val="Subtitle"/>
    <w:basedOn w:val="Normal"/>
    <w:next w:val="Normal"/>
    <w:uiPriority w:val="11"/>
    <w:qFormat/>
    <w:pPr>
      <w:keepNext/>
      <w:keepLines/>
    </w:p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paragraph" w:styleId="Header">
    <w:name w:val="header"/>
    <w:basedOn w:val="Normal"/>
    <w:link w:val="HeaderChar"/>
    <w:uiPriority w:val="99"/>
    <w:unhideWhenUsed/>
    <w:rsid w:val="00E032DB"/>
    <w:pPr>
      <w:tabs>
        <w:tab w:val="center" w:pos="4513"/>
        <w:tab w:val="right" w:pos="9026"/>
      </w:tabs>
      <w:spacing w:line="240" w:lineRule="auto"/>
    </w:pPr>
  </w:style>
  <w:style w:type="character" w:customStyle="1" w:styleId="HeaderChar">
    <w:name w:val="Header Char"/>
    <w:basedOn w:val="DefaultParagraphFont"/>
    <w:link w:val="Header"/>
    <w:uiPriority w:val="99"/>
    <w:rsid w:val="00E032DB"/>
  </w:style>
  <w:style w:type="paragraph" w:styleId="Footer">
    <w:name w:val="footer"/>
    <w:basedOn w:val="Normal"/>
    <w:link w:val="FooterChar"/>
    <w:uiPriority w:val="99"/>
    <w:unhideWhenUsed/>
    <w:rsid w:val="00E032DB"/>
    <w:pPr>
      <w:tabs>
        <w:tab w:val="center" w:pos="4513"/>
        <w:tab w:val="right" w:pos="9026"/>
      </w:tabs>
      <w:spacing w:line="240" w:lineRule="auto"/>
    </w:pPr>
  </w:style>
  <w:style w:type="character" w:customStyle="1" w:styleId="FooterChar">
    <w:name w:val="Footer Char"/>
    <w:basedOn w:val="DefaultParagraphFont"/>
    <w:link w:val="Footer"/>
    <w:uiPriority w:val="99"/>
    <w:rsid w:val="00E032DB"/>
  </w:style>
  <w:style w:type="paragraph" w:styleId="ListParagraph">
    <w:name w:val="List Paragraph"/>
    <w:basedOn w:val="Normal"/>
    <w:uiPriority w:val="34"/>
    <w:qFormat/>
    <w:rsid w:val="0016204B"/>
    <w:pPr>
      <w:ind w:left="720"/>
      <w:contextualSpacing/>
    </w:pPr>
  </w:style>
  <w:style w:type="character" w:styleId="Hyperlink">
    <w:name w:val="Hyperlink"/>
    <w:basedOn w:val="DefaultParagraphFont"/>
    <w:uiPriority w:val="99"/>
    <w:unhideWhenUsed/>
    <w:rsid w:val="0016204B"/>
    <w:rPr>
      <w:color w:val="0000FF" w:themeColor="hyperlink"/>
      <w:u w:val="single"/>
    </w:rPr>
  </w:style>
  <w:style w:type="character" w:styleId="UnresolvedMention">
    <w:name w:val="Unresolved Mention"/>
    <w:basedOn w:val="DefaultParagraphFont"/>
    <w:uiPriority w:val="99"/>
    <w:semiHidden/>
    <w:unhideWhenUsed/>
    <w:rsid w:val="0016204B"/>
    <w:rPr>
      <w:color w:val="605E5C"/>
      <w:shd w:val="clear" w:color="auto" w:fill="E1DFDD"/>
    </w:rPr>
  </w:style>
  <w:style w:type="paragraph" w:customStyle="1" w:styleId="p1">
    <w:name w:val="p1"/>
    <w:basedOn w:val="Normal"/>
    <w:rsid w:val="0016204B"/>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s1">
    <w:name w:val="s1"/>
    <w:basedOn w:val="DefaultParagraphFont"/>
    <w:rsid w:val="0016204B"/>
  </w:style>
  <w:style w:type="character" w:styleId="FollowedHyperlink">
    <w:name w:val="FollowedHyperlink"/>
    <w:basedOn w:val="DefaultParagraphFont"/>
    <w:uiPriority w:val="99"/>
    <w:semiHidden/>
    <w:unhideWhenUsed/>
    <w:rsid w:val="0016204B"/>
    <w:rPr>
      <w:color w:val="800080" w:themeColor="followedHyperlink"/>
      <w:u w:val="single"/>
    </w:rPr>
  </w:style>
  <w:style w:type="character" w:styleId="PageNumber">
    <w:name w:val="page number"/>
    <w:basedOn w:val="DefaultParagraphFont"/>
    <w:uiPriority w:val="99"/>
    <w:semiHidden/>
    <w:unhideWhenUsed/>
    <w:rsid w:val="007E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cccarbonmarket@moenr.gov.b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ec.gov.bt/" TargetMode="External"/><Relationship Id="rId4" Type="http://schemas.openxmlformats.org/officeDocument/2006/relationships/settings" Target="settings.xml"/><Relationship Id="rId9" Type="http://schemas.openxmlformats.org/officeDocument/2006/relationships/hyperlink" Target="https://www.moenr.gov.b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4SF8fORjgmPGCQVFSSQBj1+vfA==">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kay cee</cp:lastModifiedBy>
  <cp:revision>2</cp:revision>
  <dcterms:created xsi:type="dcterms:W3CDTF">2025-11-22T00:27:00Z</dcterms:created>
  <dcterms:modified xsi:type="dcterms:W3CDTF">2025-11-22T00:27:00Z</dcterms:modified>
</cp:coreProperties>
</file>